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before="0"/>
      </w:pPr>
      <w:r>
        <w:t xml:space="preserve"/>
      </w:r>
    </w:p>
    <w:p>
      <w:pPr>
        <w:spacing w:after="40" w:before="0"/>
        <w:jc w:val="center"/>
      </w:pPr>
      <w:r>
        <w:rPr>
          <w:rFonts w:ascii="Arial" w:cs="Arial" w:eastAsia="Arial" w:hAnsi="Arial"/>
          <w:b/>
          <w:bCs/>
          <w:color w:val="B8860B"/>
          <w:spacing w:val="150"/>
          <w:sz w:val="20"/>
          <w:szCs w:val="20"/>
        </w:rPr>
        <w:t xml:space="preserve">STATE OF TEXAS</w:t>
      </w:r>
    </w:p>
    <w:p>
      <w:pPr>
        <w:pBdr>
          <w:bottom w:val="single" w:color="B8860B" w:sz="4" w:space="2"/>
        </w:pBdr>
        <w:spacing w:after="0" w:before="0"/>
        <w:jc w:val="center"/>
      </w:pPr>
    </w:p>
    <w:p>
      <w:pPr>
        <w:spacing w:after="40" w:before="0"/>
      </w:pPr>
      <w:r>
        <w:t xml:space="preserve"/>
      </w:r>
    </w:p>
    <w:p>
      <w:pPr>
        <w:spacing w:after="80" w:before="0"/>
        <w:jc w:val="center"/>
      </w:pPr>
      <w:r>
        <w:rPr>
          <w:rFonts w:ascii="Arial" w:cs="Arial" w:eastAsia="Arial" w:hAnsi="Arial"/>
          <w:b/>
          <w:bCs/>
          <w:color w:val="1B2A4A"/>
          <w:sz w:val="56"/>
          <w:szCs w:val="56"/>
        </w:rPr>
        <w:t xml:space="preserve">TEXAS EDUCATOR BENEFITS</w:t>
      </w:r>
    </w:p>
    <w:p>
      <w:pPr>
        <w:spacing w:after="200" w:before="0"/>
        <w:jc w:val="center"/>
      </w:pPr>
      <w:r>
        <w:rPr>
          <w:rFonts w:ascii="Arial" w:cs="Arial" w:eastAsia="Arial" w:hAnsi="Arial"/>
          <w:b/>
          <w:bCs/>
          <w:color w:val="1B2A4A"/>
          <w:sz w:val="56"/>
          <w:szCs w:val="56"/>
        </w:rPr>
        <w:t xml:space="preserve">EXPANSION ACT</w:t>
      </w:r>
    </w:p>
    <w:p>
      <w:pPr>
        <w:spacing w:after="80" w:before="0"/>
        <w:jc w:val="center"/>
      </w:pPr>
      <w:r>
        <w:rPr>
          <w:rFonts w:ascii="Georgia" w:cs="Georgia" w:eastAsia="Georgia" w:hAnsi="Georgia"/>
          <w:i/>
          <w:iCs/>
          <w:color w:val="444444"/>
          <w:sz w:val="30"/>
          <w:szCs w:val="30"/>
        </w:rPr>
        <w:t xml:space="preserve">Legislative Proposal</w:t>
      </w:r>
    </w:p>
    <w:p>
      <w:pPr>
        <w:spacing w:after="40" w:before="0"/>
        <w:jc w:val="center"/>
      </w:pPr>
      <w:r>
        <w:rPr>
          <w:rFonts w:ascii="Arial" w:cs="Arial" w:eastAsia="Arial" w:hAnsi="Arial"/>
          <w:color w:val="444444"/>
          <w:spacing w:val="80"/>
          <w:sz w:val="24"/>
          <w:szCs w:val="24"/>
        </w:rPr>
        <w:t xml:space="preserve">90th Texas Legislature  •  2027</w:t>
      </w:r>
    </w:p>
    <w:p>
      <w:pPr>
        <w:spacing w:after="80" w:before="0"/>
      </w:pPr>
      <w:r>
        <w:t xml:space="preserve"/>
      </w:r>
    </w:p>
    <w:p>
      <w:pPr>
        <w:pBdr>
          <w:top w:val="single" w:color="B8860B" w:sz="4" w:space="2"/>
        </w:pBdr>
        <w:spacing w:after="0" w:before="0"/>
        <w:jc w:val="center"/>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6"/>
              <w:left w:val="single" w:color="CCCCCC" w:sz="6"/>
              <w:bottom w:val="single" w:color="888888" w:sz="18"/>
              <w:right w:val="single" w:color="888888" w:sz="18"/>
            </w:tcBorders>
            <w:shd w:fill="FFFFFF" w:val="clear"/>
            <w:tcMar>
              <w:top w:type="dxa" w:w="60"/>
              <w:left w:type="dxa" w:w="60"/>
              <w:bottom w:type="dxa" w:w="60"/>
              <w:right w:type="dxa" w:w="60"/>
            </w:tcMar>
          </w:tcPr>
          <w:p>
            <w:pPr>
              <w:spacing w:after="0" w:before="0"/>
              <w:jc w:val="center"/>
            </w:pPr>
            <w:r>
              <w:drawing>
                <wp:inline distT="0" distB="0" distL="0" distR="0">
                  <wp:extent cx="5829300" cy="3886200"/>
                  <wp:effectExtent t="0" r="0" b="0" l="0"/>
                  <wp:docPr id="1" name="teacher" descr="Teacher with students in classroom" title="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829300" cy="3886200"/>
                          </a:xfrm>
                          <a:prstGeom prst="rect">
                            <a:avLst/>
                          </a:prstGeom>
                        </pic:spPr>
                      </pic:pic>
                    </a:graphicData>
                  </a:graphic>
                </wp:inline>
              </w:drawing>
            </w:r>
          </w:p>
        </w:tc>
      </w:tr>
    </w:tbl>
    <w:p>
      <w:pPr>
        <w:spacing w:after="180" w:before="0"/>
      </w:pPr>
      <w:r>
        <w:t xml:space="preserve"/>
      </w:r>
    </w:p>
    <w:p>
      <w:r>
        <w:br w:type="page"/>
      </w:r>
    </w:p>
    <w:p>
      <w:pPr>
        <w:sectPr>
          <w:pgSz w:w="12240" w:h="15840" w:orient="portrait"/>
          <w:pgMar w:top="1080" w:right="1440" w:bottom="1080" w:left="1440" w:header="708" w:footer="708" w:gutter="0"/>
          <w:pgNumType/>
          <w:docGrid w:linePitch="360"/>
        </w:sectPr>
      </w:pPr>
    </w:p>
    <w:p>
      <w:pPr>
        <w:spacing w:after="0" w:before="0"/>
      </w:pPr>
      <w:r>
        <w:rPr>
          <w:rFonts w:ascii="Arial" w:cs="Arial" w:eastAsia="Arial" w:hAnsi="Arial"/>
          <w:b/>
          <w:bCs/>
          <w:color w:val="1B2A4A"/>
          <w:spacing w:val="120"/>
          <w:sz w:val="30"/>
          <w:szCs w:val="30"/>
        </w:rPr>
        <w:t xml:space="preserve">TABLE OF CONTENTS</w:t>
      </w:r>
    </w:p>
    <w:p>
      <w:pPr>
        <w:pBdr>
          <w:bottom w:val="single" w:color="B8860B" w:sz="6" w:space="1"/>
        </w:pBdr>
        <w:spacing w:after="200" w:before="40"/>
      </w:pPr>
    </w:p>
    <w:p>
      <w:pPr>
        <w:tabs>
          <w:tab w:val="right" w:pos="9360"/>
        </w:tabs>
        <w:spacing w:after="60" w:before="60"/>
        <w:ind/>
      </w:pPr>
      <w:r>
        <w:rPr>
          <w:rFonts w:ascii="Arial" w:cs="Arial" w:eastAsia="Arial" w:hAnsi="Arial"/>
          <w:b/>
          <w:bCs/>
          <w:i w:val="false"/>
          <w:iCs w:val="false"/>
          <w:color w:val="1B2A4A"/>
          <w:sz w:val="21"/>
          <w:szCs w:val="21"/>
        </w:rPr>
        <w:t xml:space="preserve">At A Glance</w:t>
      </w:r>
      <w:r>
        <w:rPr>
          <w:rFonts w:ascii="Arial" w:cs="Arial" w:eastAsia="Arial" w:hAnsi="Arial"/>
          <w:color w:val="444444"/>
          <w:sz w:val="20"/>
          <w:szCs w:val="20"/>
        </w:rPr>
        <w:t xml:space="preserve">	3</w:t>
      </w:r>
    </w:p>
    <w:p>
      <w:pPr>
        <w:tabs>
          <w:tab w:val="right" w:pos="9360"/>
        </w:tabs>
        <w:spacing w:after="60" w:before="60"/>
        <w:ind/>
      </w:pPr>
      <w:r>
        <w:rPr>
          <w:rFonts w:ascii="Arial" w:cs="Arial" w:eastAsia="Arial" w:hAnsi="Arial"/>
          <w:b/>
          <w:bCs/>
          <w:i w:val="false"/>
          <w:iCs w:val="false"/>
          <w:color w:val="1B2A4A"/>
          <w:sz w:val="21"/>
          <w:szCs w:val="21"/>
        </w:rPr>
        <w:t xml:space="preserve">Executive Summary</w:t>
      </w:r>
      <w:r>
        <w:rPr>
          <w:rFonts w:ascii="Arial" w:cs="Arial" w:eastAsia="Arial" w:hAnsi="Arial"/>
          <w:color w:val="444444"/>
          <w:sz w:val="20"/>
          <w:szCs w:val="20"/>
        </w:rPr>
        <w:t xml:space="preserve">	4</w:t>
      </w:r>
    </w:p>
    <w:p>
      <w:pPr>
        <w:tabs>
          <w:tab w:val="right" w:pos="9360"/>
        </w:tabs>
        <w:spacing w:after="60" w:before="60"/>
        <w:ind/>
      </w:pPr>
      <w:r>
        <w:rPr>
          <w:rFonts w:ascii="Arial" w:cs="Arial" w:eastAsia="Arial" w:hAnsi="Arial"/>
          <w:b/>
          <w:bCs/>
          <w:i w:val="false"/>
          <w:iCs w:val="false"/>
          <w:color w:val="1B2A4A"/>
          <w:sz w:val="21"/>
          <w:szCs w:val="21"/>
        </w:rPr>
        <w:t xml:space="preserve">Purpose</w:t>
      </w:r>
      <w:r>
        <w:rPr>
          <w:rFonts w:ascii="Arial" w:cs="Arial" w:eastAsia="Arial" w:hAnsi="Arial"/>
          <w:color w:val="444444"/>
          <w:sz w:val="20"/>
          <w:szCs w:val="20"/>
        </w:rPr>
        <w:t xml:space="preserve">	4</w:t>
      </w:r>
    </w:p>
    <w:p>
      <w:pPr>
        <w:tabs>
          <w:tab w:val="right" w:pos="9360"/>
        </w:tabs>
        <w:spacing w:after="60" w:before="60"/>
        <w:ind/>
      </w:pPr>
      <w:r>
        <w:rPr>
          <w:rFonts w:ascii="Arial" w:cs="Arial" w:eastAsia="Arial" w:hAnsi="Arial"/>
          <w:b/>
          <w:bCs/>
          <w:i w:val="false"/>
          <w:iCs w:val="false"/>
          <w:color w:val="1B2A4A"/>
          <w:sz w:val="21"/>
          <w:szCs w:val="21"/>
        </w:rPr>
        <w:t xml:space="preserve">The Problem</w:t>
      </w:r>
      <w:r>
        <w:rPr>
          <w:rFonts w:ascii="Arial" w:cs="Arial" w:eastAsia="Arial" w:hAnsi="Arial"/>
          <w:color w:val="444444"/>
          <w:sz w:val="20"/>
          <w:szCs w:val="20"/>
        </w:rPr>
        <w:t xml:space="preserve">	4</w:t>
      </w:r>
    </w:p>
    <w:p>
      <w:pPr>
        <w:tabs>
          <w:tab w:val="right" w:pos="9360"/>
        </w:tabs>
        <w:spacing w:after="60" w:before="60"/>
        <w:ind/>
      </w:pPr>
      <w:r>
        <w:rPr>
          <w:rFonts w:ascii="Arial" w:cs="Arial" w:eastAsia="Arial" w:hAnsi="Arial"/>
          <w:b/>
          <w:bCs/>
          <w:i w:val="false"/>
          <w:iCs w:val="false"/>
          <w:color w:val="1B2A4A"/>
          <w:sz w:val="21"/>
          <w:szCs w:val="21"/>
        </w:rPr>
        <w:t xml:space="preserve">Why Current Law Should Be Updated</w:t>
      </w:r>
      <w:r>
        <w:rPr>
          <w:rFonts w:ascii="Arial" w:cs="Arial" w:eastAsia="Arial" w:hAnsi="Arial"/>
          <w:color w:val="444444"/>
          <w:sz w:val="20"/>
          <w:szCs w:val="20"/>
        </w:rPr>
        <w:t xml:space="preserve">	5</w:t>
      </w:r>
    </w:p>
    <w:p>
      <w:pPr>
        <w:tabs>
          <w:tab w:val="right" w:pos="9360"/>
        </w:tabs>
        <w:spacing w:after="60" w:before="60"/>
        <w:ind/>
      </w:pPr>
      <w:r>
        <w:rPr>
          <w:rFonts w:ascii="Arial" w:cs="Arial" w:eastAsia="Arial" w:hAnsi="Arial"/>
          <w:b/>
          <w:bCs/>
          <w:i w:val="false"/>
          <w:iCs w:val="false"/>
          <w:color w:val="1B2A4A"/>
          <w:sz w:val="21"/>
          <w:szCs w:val="21"/>
        </w:rPr>
        <w:t xml:space="preserve">Legislative Findings</w:t>
      </w:r>
      <w:r>
        <w:rPr>
          <w:rFonts w:ascii="Arial" w:cs="Arial" w:eastAsia="Arial" w:hAnsi="Arial"/>
          <w:color w:val="444444"/>
          <w:sz w:val="20"/>
          <w:szCs w:val="20"/>
        </w:rPr>
        <w:t xml:space="preserve">	5</w:t>
      </w:r>
    </w:p>
    <w:p>
      <w:pPr>
        <w:tabs>
          <w:tab w:val="right" w:pos="9360"/>
        </w:tabs>
        <w:spacing w:after="60" w:before="60"/>
        <w:ind/>
      </w:pPr>
      <w:r>
        <w:rPr>
          <w:rFonts w:ascii="Arial" w:cs="Arial" w:eastAsia="Arial" w:hAnsi="Arial"/>
          <w:b/>
          <w:bCs/>
          <w:i w:val="false"/>
          <w:iCs w:val="false"/>
          <w:color w:val="1B2A4A"/>
          <w:sz w:val="21"/>
          <w:szCs w:val="21"/>
        </w:rPr>
        <w:t xml:space="preserve">Proposed Legislation</w:t>
      </w:r>
      <w:r>
        <w:rPr>
          <w:rFonts w:ascii="Arial" w:cs="Arial" w:eastAsia="Arial" w:hAnsi="Arial"/>
          <w:color w:val="444444"/>
          <w:sz w:val="20"/>
          <w:szCs w:val="20"/>
        </w:rPr>
        <w:t xml:space="preserve">	5</w:t>
      </w:r>
    </w:p>
    <w:p>
      <w:pPr>
        <w:tabs>
          <w:tab w:val="right" w:pos="9360"/>
        </w:tabs>
        <w:spacing w:after="60" w:before="60"/>
        <w:ind/>
      </w:pPr>
      <w:r>
        <w:rPr>
          <w:rFonts w:ascii="Arial" w:cs="Arial" w:eastAsia="Arial" w:hAnsi="Arial"/>
          <w:b/>
          <w:bCs/>
          <w:i w:val="false"/>
          <w:iCs w:val="false"/>
          <w:color w:val="1B2A4A"/>
          <w:sz w:val="21"/>
          <w:szCs w:val="21"/>
        </w:rPr>
        <w:t xml:space="preserve">Public Policy Goals</w:t>
      </w:r>
      <w:r>
        <w:rPr>
          <w:rFonts w:ascii="Arial" w:cs="Arial" w:eastAsia="Arial" w:hAnsi="Arial"/>
          <w:color w:val="444444"/>
          <w:sz w:val="20"/>
          <w:szCs w:val="20"/>
        </w:rPr>
        <w:t xml:space="preserve">	6</w:t>
      </w:r>
    </w:p>
    <w:p>
      <w:pPr>
        <w:tabs>
          <w:tab w:val="right" w:pos="9360"/>
        </w:tabs>
        <w:spacing w:after="60" w:before="60"/>
        <w:ind/>
      </w:pPr>
      <w:r>
        <w:rPr>
          <w:rFonts w:ascii="Arial" w:cs="Arial" w:eastAsia="Arial" w:hAnsi="Arial"/>
          <w:b/>
          <w:bCs/>
          <w:i w:val="false"/>
          <w:iCs w:val="false"/>
          <w:color w:val="1B2A4A"/>
          <w:sz w:val="21"/>
          <w:szCs w:val="21"/>
        </w:rPr>
        <w:t xml:space="preserve">Guiding Principles</w:t>
      </w:r>
      <w:r>
        <w:rPr>
          <w:rFonts w:ascii="Arial" w:cs="Arial" w:eastAsia="Arial" w:hAnsi="Arial"/>
          <w:color w:val="444444"/>
          <w:sz w:val="20"/>
          <w:szCs w:val="20"/>
        </w:rPr>
        <w:t xml:space="preserve">	6</w:t>
      </w:r>
    </w:p>
    <w:p>
      <w:pPr>
        <w:tabs>
          <w:tab w:val="right" w:pos="9360"/>
        </w:tabs>
        <w:spacing w:after="60" w:before="60"/>
        <w:ind w:left="480"/>
      </w:pPr>
      <w:r>
        <w:rPr>
          <w:rFonts w:ascii="Georgia" w:cs="Georgia" w:eastAsia="Georgia" w:hAnsi="Georgia"/>
          <w:b w:val="false"/>
          <w:bCs w:val="false"/>
          <w:i/>
          <w:iCs/>
          <w:color w:val="444444"/>
          <w:sz w:val="20"/>
          <w:szCs w:val="20"/>
        </w:rPr>
        <w:t xml:space="preserve">Local Control</w:t>
      </w:r>
      <w:r>
        <w:rPr>
          <w:rFonts w:ascii="Arial" w:cs="Arial" w:eastAsia="Arial" w:hAnsi="Arial"/>
          <w:color w:val="444444"/>
          <w:sz w:val="20"/>
          <w:szCs w:val="20"/>
        </w:rPr>
        <w:t xml:space="preserve">	6</w:t>
      </w:r>
    </w:p>
    <w:p>
      <w:pPr>
        <w:tabs>
          <w:tab w:val="right" w:pos="9360"/>
        </w:tabs>
        <w:spacing w:after="60" w:before="60"/>
        <w:ind w:left="480"/>
      </w:pPr>
      <w:r>
        <w:rPr>
          <w:rFonts w:ascii="Georgia" w:cs="Georgia" w:eastAsia="Georgia" w:hAnsi="Georgia"/>
          <w:b w:val="false"/>
          <w:bCs w:val="false"/>
          <w:i/>
          <w:iCs/>
          <w:color w:val="444444"/>
          <w:sz w:val="20"/>
          <w:szCs w:val="20"/>
        </w:rPr>
        <w:t xml:space="preserve">Fiscal Responsibility</w:t>
      </w:r>
      <w:r>
        <w:rPr>
          <w:rFonts w:ascii="Arial" w:cs="Arial" w:eastAsia="Arial" w:hAnsi="Arial"/>
          <w:color w:val="444444"/>
          <w:sz w:val="20"/>
          <w:szCs w:val="20"/>
        </w:rPr>
        <w:t xml:space="preserve">	6</w:t>
      </w:r>
    </w:p>
    <w:p>
      <w:pPr>
        <w:tabs>
          <w:tab w:val="right" w:pos="9360"/>
        </w:tabs>
        <w:spacing w:after="60" w:before="60"/>
        <w:ind w:left="480"/>
      </w:pPr>
      <w:r>
        <w:rPr>
          <w:rFonts w:ascii="Georgia" w:cs="Georgia" w:eastAsia="Georgia" w:hAnsi="Georgia"/>
          <w:b w:val="false"/>
          <w:bCs w:val="false"/>
          <w:i/>
          <w:iCs/>
          <w:color w:val="444444"/>
          <w:sz w:val="20"/>
          <w:szCs w:val="20"/>
        </w:rPr>
        <w:t xml:space="preserve">Choice</w:t>
      </w:r>
      <w:r>
        <w:rPr>
          <w:rFonts w:ascii="Arial" w:cs="Arial" w:eastAsia="Arial" w:hAnsi="Arial"/>
          <w:color w:val="444444"/>
          <w:sz w:val="20"/>
          <w:szCs w:val="20"/>
        </w:rPr>
        <w:t xml:space="preserve">	6</w:t>
      </w:r>
    </w:p>
    <w:p>
      <w:pPr>
        <w:tabs>
          <w:tab w:val="right" w:pos="9360"/>
        </w:tabs>
        <w:spacing w:after="60" w:before="60"/>
        <w:ind w:left="480"/>
      </w:pPr>
      <w:r>
        <w:rPr>
          <w:rFonts w:ascii="Georgia" w:cs="Georgia" w:eastAsia="Georgia" w:hAnsi="Georgia"/>
          <w:b w:val="false"/>
          <w:bCs w:val="false"/>
          <w:i/>
          <w:iCs/>
          <w:color w:val="444444"/>
          <w:sz w:val="20"/>
          <w:szCs w:val="20"/>
        </w:rPr>
        <w:t xml:space="preserve">Simplicity</w:t>
      </w:r>
      <w:r>
        <w:rPr>
          <w:rFonts w:ascii="Arial" w:cs="Arial" w:eastAsia="Arial" w:hAnsi="Arial"/>
          <w:color w:val="444444"/>
          <w:sz w:val="20"/>
          <w:szCs w:val="20"/>
        </w:rPr>
        <w:t xml:space="preserve">	7</w:t>
      </w:r>
    </w:p>
    <w:p>
      <w:pPr>
        <w:tabs>
          <w:tab w:val="right" w:pos="9360"/>
        </w:tabs>
        <w:spacing w:after="60" w:before="60"/>
        <w:ind w:left="480"/>
      </w:pPr>
      <w:r>
        <w:rPr>
          <w:rFonts w:ascii="Georgia" w:cs="Georgia" w:eastAsia="Georgia" w:hAnsi="Georgia"/>
          <w:b w:val="false"/>
          <w:bCs w:val="false"/>
          <w:i/>
          <w:iCs/>
          <w:color w:val="444444"/>
          <w:sz w:val="20"/>
          <w:szCs w:val="20"/>
        </w:rPr>
        <w:t xml:space="preserve">Accountability</w:t>
      </w:r>
      <w:r>
        <w:rPr>
          <w:rFonts w:ascii="Arial" w:cs="Arial" w:eastAsia="Arial" w:hAnsi="Arial"/>
          <w:color w:val="444444"/>
          <w:sz w:val="20"/>
          <w:szCs w:val="20"/>
        </w:rPr>
        <w:t xml:space="preserve">	7</w:t>
      </w:r>
    </w:p>
    <w:p>
      <w:pPr>
        <w:tabs>
          <w:tab w:val="right" w:pos="9360"/>
        </w:tabs>
        <w:spacing w:after="60" w:before="60"/>
        <w:ind/>
      </w:pPr>
      <w:r>
        <w:rPr>
          <w:rFonts w:ascii="Arial" w:cs="Arial" w:eastAsia="Arial" w:hAnsi="Arial"/>
          <w:b/>
          <w:bCs/>
          <w:i w:val="false"/>
          <w:iCs w:val="false"/>
          <w:color w:val="1B2A4A"/>
          <w:sz w:val="21"/>
          <w:szCs w:val="21"/>
        </w:rPr>
        <w:t xml:space="preserve">Local Control</w:t>
      </w:r>
      <w:r>
        <w:rPr>
          <w:rFonts w:ascii="Arial" w:cs="Arial" w:eastAsia="Arial" w:hAnsi="Arial"/>
          <w:color w:val="444444"/>
          <w:sz w:val="20"/>
          <w:szCs w:val="20"/>
        </w:rPr>
        <w:t xml:space="preserve">	7</w:t>
      </w:r>
    </w:p>
    <w:p>
      <w:pPr>
        <w:tabs>
          <w:tab w:val="right" w:pos="9360"/>
        </w:tabs>
        <w:spacing w:after="60" w:before="60"/>
        <w:ind/>
      </w:pPr>
      <w:r>
        <w:rPr>
          <w:rFonts w:ascii="Arial" w:cs="Arial" w:eastAsia="Arial" w:hAnsi="Arial"/>
          <w:b/>
          <w:bCs/>
          <w:i w:val="false"/>
          <w:iCs w:val="false"/>
          <w:color w:val="1B2A4A"/>
          <w:sz w:val="21"/>
          <w:szCs w:val="21"/>
        </w:rPr>
        <w:t xml:space="preserve">Fiscal Responsibility</w:t>
      </w:r>
      <w:r>
        <w:rPr>
          <w:rFonts w:ascii="Arial" w:cs="Arial" w:eastAsia="Arial" w:hAnsi="Arial"/>
          <w:color w:val="444444"/>
          <w:sz w:val="20"/>
          <w:szCs w:val="20"/>
        </w:rPr>
        <w:t xml:space="preserve">	7</w:t>
      </w:r>
    </w:p>
    <w:p>
      <w:pPr>
        <w:tabs>
          <w:tab w:val="right" w:pos="9360"/>
        </w:tabs>
        <w:spacing w:after="60" w:before="60"/>
        <w:ind/>
      </w:pPr>
      <w:r>
        <w:rPr>
          <w:rFonts w:ascii="Arial" w:cs="Arial" w:eastAsia="Arial" w:hAnsi="Arial"/>
          <w:b/>
          <w:bCs/>
          <w:i w:val="false"/>
          <w:iCs w:val="false"/>
          <w:color w:val="1B2A4A"/>
          <w:sz w:val="21"/>
          <w:szCs w:val="21"/>
        </w:rPr>
        <w:t xml:space="preserve">Key Benefits</w:t>
      </w:r>
      <w:r>
        <w:rPr>
          <w:rFonts w:ascii="Arial" w:cs="Arial" w:eastAsia="Arial" w:hAnsi="Arial"/>
          <w:color w:val="444444"/>
          <w:sz w:val="20"/>
          <w:szCs w:val="20"/>
        </w:rPr>
        <w:t xml:space="preserve">	7</w:t>
      </w:r>
    </w:p>
    <w:p>
      <w:pPr>
        <w:tabs>
          <w:tab w:val="right" w:pos="9360"/>
        </w:tabs>
        <w:spacing w:after="60" w:before="60"/>
        <w:ind/>
      </w:pPr>
      <w:r>
        <w:rPr>
          <w:rFonts w:ascii="Arial" w:cs="Arial" w:eastAsia="Arial" w:hAnsi="Arial"/>
          <w:b/>
          <w:bCs/>
          <w:i w:val="false"/>
          <w:iCs w:val="false"/>
          <w:color w:val="1B2A4A"/>
          <w:sz w:val="21"/>
          <w:szCs w:val="21"/>
        </w:rPr>
        <w:t xml:space="preserve">Stakeholder Analysis</w:t>
      </w:r>
      <w:r>
        <w:rPr>
          <w:rFonts w:ascii="Arial" w:cs="Arial" w:eastAsia="Arial" w:hAnsi="Arial"/>
          <w:color w:val="444444"/>
          <w:sz w:val="20"/>
          <w:szCs w:val="20"/>
        </w:rPr>
        <w:t xml:space="preserve">	10</w:t>
      </w:r>
    </w:p>
    <w:p>
      <w:pPr>
        <w:tabs>
          <w:tab w:val="right" w:pos="9360"/>
        </w:tabs>
        <w:spacing w:after="60" w:before="60"/>
        <w:ind/>
      </w:pPr>
      <w:r>
        <w:rPr>
          <w:rFonts w:ascii="Arial" w:cs="Arial" w:eastAsia="Arial" w:hAnsi="Arial"/>
          <w:b/>
          <w:bCs/>
          <w:i w:val="false"/>
          <w:iCs w:val="false"/>
          <w:color w:val="1B2A4A"/>
          <w:sz w:val="21"/>
          <w:szCs w:val="21"/>
        </w:rPr>
        <w:t xml:space="preserve">The Core Message</w:t>
      </w:r>
      <w:r>
        <w:rPr>
          <w:rFonts w:ascii="Arial" w:cs="Arial" w:eastAsia="Arial" w:hAnsi="Arial"/>
          <w:color w:val="444444"/>
          <w:sz w:val="20"/>
          <w:szCs w:val="20"/>
        </w:rPr>
        <w:t xml:space="preserve">	11</w:t>
      </w:r>
    </w:p>
    <w:p>
      <w:pPr>
        <w:tabs>
          <w:tab w:val="right" w:pos="9360"/>
        </w:tabs>
        <w:spacing w:after="60" w:before="60"/>
        <w:ind/>
      </w:pPr>
      <w:r>
        <w:rPr>
          <w:rFonts w:ascii="Arial" w:cs="Arial" w:eastAsia="Arial" w:hAnsi="Arial"/>
          <w:b/>
          <w:bCs/>
          <w:i w:val="false"/>
          <w:iCs w:val="false"/>
          <w:color w:val="1B2A4A"/>
          <w:sz w:val="21"/>
          <w:szCs w:val="21"/>
        </w:rPr>
        <w:t xml:space="preserve">Why This Bill Is Different</w:t>
      </w:r>
      <w:r>
        <w:rPr>
          <w:rFonts w:ascii="Arial" w:cs="Arial" w:eastAsia="Arial" w:hAnsi="Arial"/>
          <w:color w:val="444444"/>
          <w:sz w:val="20"/>
          <w:szCs w:val="20"/>
        </w:rPr>
        <w:t xml:space="preserve">	11</w:t>
      </w:r>
    </w:p>
    <w:p>
      <w:pPr>
        <w:tabs>
          <w:tab w:val="right" w:pos="9360"/>
        </w:tabs>
        <w:spacing w:after="60" w:before="60"/>
        <w:ind/>
      </w:pPr>
      <w:r>
        <w:rPr>
          <w:rFonts w:ascii="Arial" w:cs="Arial" w:eastAsia="Arial" w:hAnsi="Arial"/>
          <w:b/>
          <w:bCs/>
          <w:i w:val="false"/>
          <w:iCs w:val="false"/>
          <w:color w:val="1B2A4A"/>
          <w:sz w:val="21"/>
          <w:szCs w:val="21"/>
        </w:rPr>
        <w:t xml:space="preserve">The Question Before the Legislature</w:t>
      </w:r>
      <w:r>
        <w:rPr>
          <w:rFonts w:ascii="Arial" w:cs="Arial" w:eastAsia="Arial" w:hAnsi="Arial"/>
          <w:color w:val="444444"/>
          <w:sz w:val="20"/>
          <w:szCs w:val="20"/>
        </w:rPr>
        <w:t xml:space="preserve">	11</w:t>
      </w:r>
    </w:p>
    <w:p>
      <w:pPr>
        <w:tabs>
          <w:tab w:val="right" w:pos="9360"/>
        </w:tabs>
        <w:spacing w:after="60" w:before="60"/>
        <w:ind/>
      </w:pPr>
      <w:r>
        <w:rPr>
          <w:rFonts w:ascii="Arial" w:cs="Arial" w:eastAsia="Arial" w:hAnsi="Arial"/>
          <w:b/>
          <w:bCs/>
          <w:i w:val="false"/>
          <w:iCs w:val="false"/>
          <w:color w:val="1B2A4A"/>
          <w:sz w:val="21"/>
          <w:szCs w:val="21"/>
        </w:rPr>
        <w:t xml:space="preserve">Recommendation</w:t>
      </w:r>
      <w:r>
        <w:rPr>
          <w:rFonts w:ascii="Arial" w:cs="Arial" w:eastAsia="Arial" w:hAnsi="Arial"/>
          <w:color w:val="444444"/>
          <w:sz w:val="20"/>
          <w:szCs w:val="20"/>
        </w:rPr>
        <w:t xml:space="preserve">	12</w:t>
      </w:r>
    </w:p>
    <w:p>
      <w:pPr>
        <w:tabs>
          <w:tab w:val="right" w:pos="9360"/>
        </w:tabs>
        <w:spacing w:after="60" w:before="60"/>
        <w:ind/>
      </w:pPr>
      <w:r>
        <w:rPr>
          <w:rFonts w:ascii="Arial" w:cs="Arial" w:eastAsia="Arial" w:hAnsi="Arial"/>
          <w:b/>
          <w:bCs/>
          <w:i w:val="false"/>
          <w:iCs w:val="false"/>
          <w:color w:val="1B2A4A"/>
          <w:sz w:val="21"/>
          <w:szCs w:val="21"/>
        </w:rPr>
        <w:t xml:space="preserve">Conclusion</w:t>
      </w:r>
      <w:r>
        <w:rPr>
          <w:rFonts w:ascii="Arial" w:cs="Arial" w:eastAsia="Arial" w:hAnsi="Arial"/>
          <w:color w:val="444444"/>
          <w:sz w:val="20"/>
          <w:szCs w:val="20"/>
        </w:rPr>
        <w:t xml:space="preserve">	12</w:t>
      </w:r>
    </w:p>
    <w:p>
      <w:pPr>
        <w:spacing w:after="80" w:before="0"/>
      </w:pPr>
      <w:r>
        <w:t xml:space="preserve"/>
      </w:r>
    </w:p>
    <w:p>
      <w:r>
        <w:br w:type="page"/>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6480"/>
      </w:tblGrid>
      <w:tr>
        <w:trPr>
          <w:tblHeader/>
        </w:trPr>
        <w:tc>
          <w:tcPr>
            <w:tcW w:type="dxa" w:w="9360"/>
            <w:gridSpan w:val="2"/>
            <w:tcBorders>
              <w:top w:val="single" w:color="1B2A4A" w:sz="1"/>
              <w:left w:val="single" w:color="1B2A4A" w:sz="1"/>
              <w:bottom w:val="single" w:color="1B2A4A" w:sz="1"/>
              <w:right w:val="single" w:color="1B2A4A" w:sz="1"/>
            </w:tcBorders>
            <w:shd w:fill="1B2A4A" w:val="clear"/>
            <w:tcMar>
              <w:top w:type="dxa" w:w="120"/>
              <w:left w:type="dxa" w:w="180"/>
              <w:bottom w:type="dxa" w:w="120"/>
              <w:right w:type="dxa" w:w="180"/>
            </w:tcMar>
          </w:tcPr>
          <w:p>
            <w:r>
              <w:rPr>
                <w:rFonts w:ascii="Arial" w:cs="Arial" w:eastAsia="Arial" w:hAnsi="Arial"/>
                <w:b/>
                <w:bCs/>
                <w:color w:val="FFFFFF"/>
                <w:spacing w:val="100"/>
                <w:sz w:val="24"/>
                <w:szCs w:val="24"/>
              </w:rPr>
              <w:t xml:space="preserve">AT A GLANCE</w:t>
            </w:r>
          </w:p>
        </w:tc>
      </w:tr>
      <w:tr>
        <w:tc>
          <w:tcPr>
            <w:tcW w:type="dxa" w:w="2880"/>
            <w:tcBorders>
              <w:top w:val="single" w:color="D8D8D8" w:sz="1"/>
              <w:left w:val="single" w:color="D8D8D8" w:sz="1"/>
              <w:bottom w:val="single" w:color="D8D8D8" w:sz="1"/>
              <w:right w:val="single" w:color="D8D8D8" w:sz="1"/>
            </w:tcBorders>
            <w:shd w:fill="EEF2F7" w:val="clear"/>
            <w:tcMar>
              <w:top w:type="dxa" w:w="120"/>
              <w:left w:type="dxa" w:w="180"/>
              <w:bottom w:type="dxa" w:w="120"/>
              <w:right w:type="dxa" w:w="180"/>
            </w:tcMar>
            <w:vAlign w:val="center"/>
          </w:tcPr>
          <w:p>
            <w:r>
              <w:rPr>
                <w:rFonts w:ascii="Arial" w:cs="Arial" w:eastAsia="Arial" w:hAnsi="Arial"/>
                <w:b/>
                <w:bCs/>
                <w:color w:val="1B2A4A"/>
                <w:sz w:val="21"/>
                <w:szCs w:val="21"/>
              </w:rPr>
              <w:t xml:space="preserve">Proposal</w:t>
            </w:r>
          </w:p>
        </w:tc>
        <w:tc>
          <w:tcPr>
            <w:tcW w:type="dxa" w:w="6480"/>
            <w:tcBorders>
              <w:top w:val="single" w:color="D8D8D8" w:sz="1"/>
              <w:left w:val="single" w:color="D8D8D8" w:sz="1"/>
              <w:bottom w:val="single" w:color="D8D8D8" w:sz="1"/>
              <w:right w:val="single" w:color="D8D8D8" w:sz="1"/>
            </w:tcBorders>
            <w:shd w:fill="EEF2F7" w:val="clear"/>
            <w:tcMar>
              <w:top w:type="dxa" w:w="120"/>
              <w:left w:type="dxa" w:w="180"/>
              <w:bottom w:type="dxa" w:w="120"/>
              <w:right w:type="dxa" w:w="180"/>
            </w:tcMar>
            <w:vAlign w:val="center"/>
          </w:tcPr>
          <w:p>
            <w:r>
              <w:rPr>
                <w:rFonts w:ascii="Georgia" w:cs="Georgia" w:eastAsia="Georgia" w:hAnsi="Georgia"/>
                <w:color w:val="1A1A1A"/>
                <w:sz w:val="21"/>
                <w:szCs w:val="21"/>
              </w:rPr>
              <w:t xml:space="preserve">Voluntary Employees Retirement System of Texas (ERS) participation for Independent School Districts (ISD) and Education Service Centers (ESC)</w:t>
            </w:r>
          </w:p>
        </w:tc>
      </w:tr>
      <w:tr>
        <w:tc>
          <w:tcPr>
            <w:tcW w:type="dxa" w:w="2880"/>
            <w:tcBorders>
              <w:top w:val="single" w:color="D8D8D8" w:sz="1"/>
              <w:left w:val="single" w:color="D8D8D8" w:sz="1"/>
              <w:bottom w:val="single" w:color="D8D8D8" w:sz="1"/>
              <w:right w:val="single" w:color="D8D8D8" w:sz="1"/>
            </w:tcBorders>
            <w:shd w:fill="FFFFFF" w:val="clear"/>
            <w:tcMar>
              <w:top w:type="dxa" w:w="120"/>
              <w:left w:type="dxa" w:w="180"/>
              <w:bottom w:type="dxa" w:w="120"/>
              <w:right w:type="dxa" w:w="180"/>
            </w:tcMar>
            <w:vAlign w:val="center"/>
          </w:tcPr>
          <w:p>
            <w:r>
              <w:rPr>
                <w:rFonts w:ascii="Arial" w:cs="Arial" w:eastAsia="Arial" w:hAnsi="Arial"/>
                <w:b/>
                <w:bCs/>
                <w:color w:val="1B2A4A"/>
                <w:sz w:val="21"/>
                <w:szCs w:val="21"/>
              </w:rPr>
              <w:t xml:space="preserve">Who Is Eligible</w:t>
            </w:r>
          </w:p>
        </w:tc>
        <w:tc>
          <w:tcPr>
            <w:tcW w:type="dxa" w:w="6480"/>
            <w:tcBorders>
              <w:top w:val="single" w:color="D8D8D8" w:sz="1"/>
              <w:left w:val="single" w:color="D8D8D8" w:sz="1"/>
              <w:bottom w:val="single" w:color="D8D8D8" w:sz="1"/>
              <w:right w:val="single" w:color="D8D8D8" w:sz="1"/>
            </w:tcBorders>
            <w:shd w:fill="FFFFFF" w:val="clear"/>
            <w:tcMar>
              <w:top w:type="dxa" w:w="120"/>
              <w:left w:type="dxa" w:w="180"/>
              <w:bottom w:type="dxa" w:w="120"/>
              <w:right w:type="dxa" w:w="180"/>
            </w:tcMar>
            <w:vAlign w:val="center"/>
          </w:tcPr>
          <w:p>
            <w:r>
              <w:rPr>
                <w:rFonts w:ascii="Georgia" w:cs="Georgia" w:eastAsia="Georgia" w:hAnsi="Georgia"/>
                <w:color w:val="1A1A1A"/>
                <w:sz w:val="21"/>
                <w:szCs w:val="21"/>
              </w:rPr>
              <w:t xml:space="preserve">ISDs and ESCs</w:t>
            </w:r>
          </w:p>
        </w:tc>
      </w:tr>
      <w:tr>
        <w:tc>
          <w:tcPr>
            <w:tcW w:type="dxa" w:w="2880"/>
            <w:tcBorders>
              <w:top w:val="single" w:color="D8D8D8" w:sz="1"/>
              <w:left w:val="single" w:color="D8D8D8" w:sz="1"/>
              <w:bottom w:val="single" w:color="D8D8D8" w:sz="1"/>
              <w:right w:val="single" w:color="D8D8D8" w:sz="1"/>
            </w:tcBorders>
            <w:shd w:fill="EEF2F7" w:val="clear"/>
            <w:tcMar>
              <w:top w:type="dxa" w:w="120"/>
              <w:left w:type="dxa" w:w="180"/>
              <w:bottom w:type="dxa" w:w="120"/>
              <w:right w:type="dxa" w:w="180"/>
            </w:tcMar>
            <w:vAlign w:val="center"/>
          </w:tcPr>
          <w:p>
            <w:r>
              <w:rPr>
                <w:rFonts w:ascii="Arial" w:cs="Arial" w:eastAsia="Arial" w:hAnsi="Arial"/>
                <w:b/>
                <w:bCs/>
                <w:color w:val="1B2A4A"/>
                <w:sz w:val="21"/>
                <w:szCs w:val="21"/>
              </w:rPr>
              <w:t xml:space="preserve">Who Decides</w:t>
            </w:r>
          </w:p>
        </w:tc>
        <w:tc>
          <w:tcPr>
            <w:tcW w:type="dxa" w:w="6480"/>
            <w:tcBorders>
              <w:top w:val="single" w:color="D8D8D8" w:sz="1"/>
              <w:left w:val="single" w:color="D8D8D8" w:sz="1"/>
              <w:bottom w:val="single" w:color="D8D8D8" w:sz="1"/>
              <w:right w:val="single" w:color="D8D8D8" w:sz="1"/>
            </w:tcBorders>
            <w:shd w:fill="EEF2F7" w:val="clear"/>
            <w:tcMar>
              <w:top w:type="dxa" w:w="120"/>
              <w:left w:type="dxa" w:w="180"/>
              <w:bottom w:type="dxa" w:w="120"/>
              <w:right w:type="dxa" w:w="180"/>
            </w:tcMar>
            <w:vAlign w:val="center"/>
          </w:tcPr>
          <w:p>
            <w:r>
              <w:rPr>
                <w:rFonts w:ascii="Georgia" w:cs="Georgia" w:eastAsia="Georgia" w:hAnsi="Georgia"/>
                <w:color w:val="1A1A1A"/>
                <w:sz w:val="21"/>
                <w:szCs w:val="21"/>
              </w:rPr>
              <w:t xml:space="preserve">Local governing boards</w:t>
            </w:r>
          </w:p>
        </w:tc>
      </w:tr>
      <w:tr>
        <w:tc>
          <w:tcPr>
            <w:tcW w:type="dxa" w:w="2880"/>
            <w:tcBorders>
              <w:top w:val="single" w:color="D8D8D8" w:sz="1"/>
              <w:left w:val="single" w:color="D8D8D8" w:sz="1"/>
              <w:bottom w:val="single" w:color="D8D8D8" w:sz="1"/>
              <w:right w:val="single" w:color="D8D8D8" w:sz="1"/>
            </w:tcBorders>
            <w:shd w:fill="FFFFFF" w:val="clear"/>
            <w:tcMar>
              <w:top w:type="dxa" w:w="120"/>
              <w:left w:type="dxa" w:w="180"/>
              <w:bottom w:type="dxa" w:w="120"/>
              <w:right w:type="dxa" w:w="180"/>
            </w:tcMar>
            <w:vAlign w:val="center"/>
          </w:tcPr>
          <w:p>
            <w:r>
              <w:rPr>
                <w:rFonts w:ascii="Arial" w:cs="Arial" w:eastAsia="Arial" w:hAnsi="Arial"/>
                <w:b/>
                <w:bCs/>
                <w:color w:val="1B2A4A"/>
                <w:sz w:val="21"/>
                <w:szCs w:val="21"/>
              </w:rPr>
              <w:t xml:space="preserve">New State Agency</w:t>
            </w:r>
          </w:p>
        </w:tc>
        <w:tc>
          <w:tcPr>
            <w:tcW w:type="dxa" w:w="6480"/>
            <w:tcBorders>
              <w:top w:val="single" w:color="D8D8D8" w:sz="1"/>
              <w:left w:val="single" w:color="D8D8D8" w:sz="1"/>
              <w:bottom w:val="single" w:color="D8D8D8" w:sz="1"/>
              <w:right w:val="single" w:color="D8D8D8" w:sz="1"/>
            </w:tcBorders>
            <w:shd w:fill="FFFFFF" w:val="clear"/>
            <w:tcMar>
              <w:top w:type="dxa" w:w="120"/>
              <w:left w:type="dxa" w:w="180"/>
              <w:bottom w:type="dxa" w:w="120"/>
              <w:right w:type="dxa" w:w="180"/>
            </w:tcMar>
            <w:vAlign w:val="center"/>
          </w:tcPr>
          <w:p>
            <w:r>
              <w:rPr>
                <w:rFonts w:ascii="Georgia" w:cs="Georgia" w:eastAsia="Georgia" w:hAnsi="Georgia"/>
                <w:color w:val="1A1A1A"/>
                <w:sz w:val="21"/>
                <w:szCs w:val="21"/>
              </w:rPr>
              <w:t xml:space="preserve">None</w:t>
            </w:r>
          </w:p>
        </w:tc>
      </w:tr>
      <w:tr>
        <w:tc>
          <w:tcPr>
            <w:tcW w:type="dxa" w:w="2880"/>
            <w:tcBorders>
              <w:top w:val="single" w:color="D8D8D8" w:sz="1"/>
              <w:left w:val="single" w:color="D8D8D8" w:sz="1"/>
              <w:bottom w:val="single" w:color="D8D8D8" w:sz="1"/>
              <w:right w:val="single" w:color="D8D8D8" w:sz="1"/>
            </w:tcBorders>
            <w:shd w:fill="EEF2F7" w:val="clear"/>
            <w:tcMar>
              <w:top w:type="dxa" w:w="120"/>
              <w:left w:type="dxa" w:w="180"/>
              <w:bottom w:type="dxa" w:w="120"/>
              <w:right w:type="dxa" w:w="180"/>
            </w:tcMar>
            <w:vAlign w:val="center"/>
          </w:tcPr>
          <w:p>
            <w:r>
              <w:rPr>
                <w:rFonts w:ascii="Arial" w:cs="Arial" w:eastAsia="Arial" w:hAnsi="Arial"/>
                <w:b/>
                <w:bCs/>
                <w:color w:val="1B2A4A"/>
                <w:sz w:val="21"/>
                <w:szCs w:val="21"/>
              </w:rPr>
              <w:t xml:space="preserve">Participation</w:t>
            </w:r>
          </w:p>
        </w:tc>
        <w:tc>
          <w:tcPr>
            <w:tcW w:type="dxa" w:w="6480"/>
            <w:tcBorders>
              <w:top w:val="single" w:color="D8D8D8" w:sz="1"/>
              <w:left w:val="single" w:color="D8D8D8" w:sz="1"/>
              <w:bottom w:val="single" w:color="D8D8D8" w:sz="1"/>
              <w:right w:val="single" w:color="D8D8D8" w:sz="1"/>
            </w:tcBorders>
            <w:shd w:fill="EEF2F7" w:val="clear"/>
            <w:tcMar>
              <w:top w:type="dxa" w:w="120"/>
              <w:left w:type="dxa" w:w="180"/>
              <w:bottom w:type="dxa" w:w="120"/>
              <w:right w:type="dxa" w:w="180"/>
            </w:tcMar>
            <w:vAlign w:val="center"/>
          </w:tcPr>
          <w:p>
            <w:r>
              <w:rPr>
                <w:rFonts w:ascii="Georgia" w:cs="Georgia" w:eastAsia="Georgia" w:hAnsi="Georgia"/>
                <w:color w:val="1A1A1A"/>
                <w:sz w:val="21"/>
                <w:szCs w:val="21"/>
              </w:rPr>
              <w:t xml:space="preserve">Voluntary</w:t>
            </w:r>
          </w:p>
        </w:tc>
      </w:tr>
      <w:tr>
        <w:tc>
          <w:tcPr>
            <w:tcW w:type="dxa" w:w="2880"/>
            <w:tcBorders>
              <w:top w:val="single" w:color="D8D8D8" w:sz="1"/>
              <w:left w:val="single" w:color="D8D8D8" w:sz="1"/>
              <w:bottom w:val="single" w:color="D8D8D8" w:sz="1"/>
              <w:right w:val="single" w:color="D8D8D8" w:sz="1"/>
            </w:tcBorders>
            <w:shd w:fill="FFFFFF" w:val="clear"/>
            <w:tcMar>
              <w:top w:type="dxa" w:w="120"/>
              <w:left w:type="dxa" w:w="180"/>
              <w:bottom w:type="dxa" w:w="120"/>
              <w:right w:type="dxa" w:w="180"/>
            </w:tcMar>
            <w:vAlign w:val="center"/>
          </w:tcPr>
          <w:p>
            <w:r>
              <w:rPr>
                <w:rFonts w:ascii="Arial" w:cs="Arial" w:eastAsia="Arial" w:hAnsi="Arial"/>
                <w:b/>
                <w:bCs/>
                <w:color w:val="1B2A4A"/>
                <w:sz w:val="21"/>
                <w:szCs w:val="21"/>
              </w:rPr>
              <w:t xml:space="preserve">Existing Plans</w:t>
            </w:r>
          </w:p>
        </w:tc>
        <w:tc>
          <w:tcPr>
            <w:tcW w:type="dxa" w:w="6480"/>
            <w:tcBorders>
              <w:top w:val="single" w:color="D8D8D8" w:sz="1"/>
              <w:left w:val="single" w:color="D8D8D8" w:sz="1"/>
              <w:bottom w:val="single" w:color="D8D8D8" w:sz="1"/>
              <w:right w:val="single" w:color="D8D8D8" w:sz="1"/>
            </w:tcBorders>
            <w:shd w:fill="FFFFFF" w:val="clear"/>
            <w:tcMar>
              <w:top w:type="dxa" w:w="120"/>
              <w:left w:type="dxa" w:w="180"/>
              <w:bottom w:type="dxa" w:w="120"/>
              <w:right w:type="dxa" w:w="180"/>
            </w:tcMar>
            <w:vAlign w:val="center"/>
          </w:tcPr>
          <w:p>
            <w:r>
              <w:rPr>
                <w:rFonts w:ascii="Georgia" w:cs="Georgia" w:eastAsia="Georgia" w:hAnsi="Georgia"/>
                <w:color w:val="1A1A1A"/>
                <w:sz w:val="21"/>
                <w:szCs w:val="21"/>
              </w:rPr>
              <w:t xml:space="preserve">Preserved</w:t>
            </w:r>
          </w:p>
        </w:tc>
      </w:tr>
      <w:tr>
        <w:tc>
          <w:tcPr>
            <w:tcW w:type="dxa" w:w="2880"/>
            <w:tcBorders>
              <w:top w:val="single" w:color="D8D8D8" w:sz="1"/>
              <w:left w:val="single" w:color="D8D8D8" w:sz="1"/>
              <w:bottom w:val="single" w:color="D8D8D8" w:sz="1"/>
              <w:right w:val="single" w:color="D8D8D8" w:sz="1"/>
            </w:tcBorders>
            <w:shd w:fill="EEF2F7" w:val="clear"/>
            <w:tcMar>
              <w:top w:type="dxa" w:w="120"/>
              <w:left w:type="dxa" w:w="180"/>
              <w:bottom w:type="dxa" w:w="120"/>
              <w:right w:type="dxa" w:w="180"/>
            </w:tcMar>
            <w:vAlign w:val="center"/>
          </w:tcPr>
          <w:p>
            <w:r>
              <w:rPr>
                <w:rFonts w:ascii="Arial" w:cs="Arial" w:eastAsia="Arial" w:hAnsi="Arial"/>
                <w:b/>
                <w:bCs/>
                <w:color w:val="1B2A4A"/>
                <w:sz w:val="21"/>
                <w:szCs w:val="21"/>
              </w:rPr>
              <w:t xml:space="preserve">Primary Objectives</w:t>
            </w:r>
          </w:p>
        </w:tc>
        <w:tc>
          <w:tcPr>
            <w:tcW w:type="dxa" w:w="6480"/>
            <w:tcBorders>
              <w:top w:val="single" w:color="D8D8D8" w:sz="1"/>
              <w:left w:val="single" w:color="D8D8D8" w:sz="1"/>
              <w:bottom w:val="single" w:color="D8D8D8" w:sz="1"/>
              <w:right w:val="single" w:color="D8D8D8" w:sz="1"/>
            </w:tcBorders>
            <w:shd w:fill="EEF2F7" w:val="clear"/>
            <w:tcMar>
              <w:top w:type="dxa" w:w="120"/>
              <w:left w:type="dxa" w:w="180"/>
              <w:bottom w:type="dxa" w:w="120"/>
              <w:right w:type="dxa" w:w="180"/>
            </w:tcMar>
            <w:vAlign w:val="center"/>
          </w:tcPr>
          <w:p>
            <w:r>
              <w:rPr>
                <w:rFonts w:ascii="Georgia" w:cs="Georgia" w:eastAsia="Georgia" w:hAnsi="Georgia"/>
                <w:color w:val="1A1A1A"/>
                <w:sz w:val="21"/>
                <w:szCs w:val="21"/>
              </w:rPr>
              <w:t xml:space="preserve">Recruitment, retention, compensation value, and local control</w:t>
            </w:r>
          </w:p>
        </w:tc>
      </w:tr>
      <w:tr>
        <w:tc>
          <w:tcPr>
            <w:tcW w:type="dxa" w:w="2880"/>
            <w:tcBorders>
              <w:top w:val="single" w:color="D8D8D8" w:sz="1"/>
              <w:left w:val="single" w:color="D8D8D8" w:sz="1"/>
              <w:bottom w:val="single" w:color="D8D8D8" w:sz="1"/>
              <w:right w:val="single" w:color="D8D8D8" w:sz="1"/>
            </w:tcBorders>
            <w:shd w:fill="FFFFFF" w:val="clear"/>
            <w:tcMar>
              <w:top w:type="dxa" w:w="120"/>
              <w:left w:type="dxa" w:w="180"/>
              <w:bottom w:type="dxa" w:w="120"/>
              <w:right w:type="dxa" w:w="180"/>
            </w:tcMar>
            <w:vAlign w:val="center"/>
          </w:tcPr>
          <w:p>
            <w:r>
              <w:rPr>
                <w:rFonts w:ascii="Arial" w:cs="Arial" w:eastAsia="Arial" w:hAnsi="Arial"/>
                <w:b/>
                <w:bCs/>
                <w:color w:val="1B2A4A"/>
                <w:sz w:val="21"/>
                <w:szCs w:val="21"/>
              </w:rPr>
              <w:t xml:space="preserve">Fiscal Safeguard</w:t>
            </w:r>
          </w:p>
        </w:tc>
        <w:tc>
          <w:tcPr>
            <w:tcW w:type="dxa" w:w="6480"/>
            <w:tcBorders>
              <w:top w:val="single" w:color="D8D8D8" w:sz="1"/>
              <w:left w:val="single" w:color="D8D8D8" w:sz="1"/>
              <w:bottom w:val="single" w:color="D8D8D8" w:sz="1"/>
              <w:right w:val="single" w:color="D8D8D8" w:sz="1"/>
            </w:tcBorders>
            <w:shd w:fill="FFFFFF" w:val="clear"/>
            <w:tcMar>
              <w:top w:type="dxa" w:w="120"/>
              <w:left w:type="dxa" w:w="180"/>
              <w:bottom w:type="dxa" w:w="120"/>
              <w:right w:type="dxa" w:w="180"/>
            </w:tcMar>
            <w:vAlign w:val="center"/>
          </w:tcPr>
          <w:p>
            <w:r>
              <w:rPr>
                <w:rFonts w:ascii="Georgia" w:cs="Georgia" w:eastAsia="Georgia" w:hAnsi="Georgia"/>
                <w:color w:val="1A1A1A"/>
                <w:sz w:val="21"/>
                <w:szCs w:val="21"/>
              </w:rPr>
              <w:t xml:space="preserve">ERS actuarial review required before participation</w:t>
            </w:r>
          </w:p>
        </w:tc>
      </w:tr>
    </w:tbl>
    <w:p>
      <w:pPr>
        <w:spacing w:after="120" w:before="0"/>
      </w:pPr>
      <w:r>
        <w:t xml:space="preserve"/>
      </w:r>
    </w:p>
    <w:p>
      <w:r>
        <w:br w:type="page"/>
      </w:r>
    </w:p>
    <w:p>
      <w:pPr>
        <w:pBdr>
          <w:left w:val="single" w:color="B8860B" w:sz="18" w:space="8"/>
        </w:pBdr>
        <w:spacing w:after="0" w:before="280"/>
      </w:pPr>
      <w:r>
        <w:rPr>
          <w:rFonts w:ascii="Arial" w:cs="Arial" w:eastAsia="Arial" w:hAnsi="Arial"/>
          <w:b/>
          <w:bCs/>
          <w:color w:val="1B2A4A"/>
          <w:sz w:val="26"/>
          <w:szCs w:val="26"/>
        </w:rPr>
        <w:t xml:space="preserve">EXECUTIVE SUMMARY</w:t>
      </w:r>
    </w:p>
    <w:p>
      <w:pPr>
        <w:pBdr>
          <w:bottom w:val="single" w:color="D6E0EC" w:sz="2" w:space="1"/>
        </w:pBdr>
        <w:spacing w:after="120" w:before="0"/>
      </w:pPr>
    </w:p>
    <w:p>
      <w:pPr>
        <w:spacing w:after="120" w:before="80"/>
        <w:jc w:val="both"/>
      </w:pPr>
      <w:r>
        <w:rPr>
          <w:rFonts w:ascii="Georgia" w:cs="Georgia" w:eastAsia="Georgia" w:hAnsi="Georgia"/>
          <w:b w:val="false"/>
          <w:bCs w:val="false"/>
          <w:i w:val="false"/>
          <w:iCs w:val="false"/>
          <w:color w:val="1A1A1A"/>
          <w:sz w:val="22"/>
          <w:szCs w:val="22"/>
        </w:rPr>
        <w:t xml:space="preserve">The Texas Educator Benefits Expansion Act provides Texas public school employers with an additional, voluntary option for securing affordable, high-quality health insurance for educators and support personnel. Rather than creating a new insurance program, this legislation authorizes eligible public school employers to voluntarily participate in the Employees Retirement System of Texas (ERS) Group Benefits Program, subject to actuarial review and administrative approval.</w:t>
      </w:r>
    </w:p>
    <w:p>
      <w:pPr>
        <w:spacing w:after="160" w:before="0"/>
        <w:jc w:val="both"/>
      </w:pPr>
      <w:r>
        <w:rPr>
          <w:rFonts w:ascii="Georgia" w:cs="Georgia" w:eastAsia="Georgia" w:hAnsi="Georgia"/>
          <w:b w:val="false"/>
          <w:bCs w:val="false"/>
          <w:i w:val="false"/>
          <w:iCs w:val="false"/>
          <w:color w:val="1A1A1A"/>
          <w:sz w:val="22"/>
          <w:szCs w:val="22"/>
        </w:rPr>
        <w:t xml:space="preserve">The Act preserves local control while improving educator recruitment, retention, employee satisfaction, and the long-term financial stability of Texas public schools.</w:t>
      </w:r>
    </w:p>
    <w:p>
      <w:pPr>
        <w:spacing w:after="4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PURPOSE</w:t>
      </w:r>
    </w:p>
    <w:p>
      <w:pPr>
        <w:pBdr>
          <w:bottom w:val="single" w:color="D6E0EC" w:sz="2" w:space="1"/>
        </w:pBdr>
        <w:spacing w:after="120" w:before="0"/>
      </w:pPr>
    </w:p>
    <w:p>
      <w:pPr>
        <w:spacing w:after="160" w:before="80"/>
        <w:jc w:val="both"/>
      </w:pPr>
      <w:r>
        <w:rPr>
          <w:rFonts w:ascii="Georgia" w:cs="Georgia" w:eastAsia="Georgia" w:hAnsi="Georgia"/>
          <w:b w:val="false"/>
          <w:bCs w:val="false"/>
          <w:i w:val="false"/>
          <w:iCs w:val="false"/>
          <w:color w:val="1A1A1A"/>
          <w:sz w:val="22"/>
          <w:szCs w:val="22"/>
        </w:rPr>
        <w:t xml:space="preserve">The purpose of this legislation is to improve healthcare options available to Texas educators through voluntary participation in an existing statewide employee benefits system — while maintaining fiscal responsibility and preserving local decision-making authority.</w:t>
      </w:r>
    </w:p>
    <w:p>
      <w:pPr>
        <w:pBdr>
          <w:left w:val="single" w:color="B8860B" w:sz="18" w:space="8"/>
        </w:pBdr>
        <w:spacing w:after="0" w:before="280"/>
      </w:pPr>
      <w:r>
        <w:rPr>
          <w:rFonts w:ascii="Arial" w:cs="Arial" w:eastAsia="Arial" w:hAnsi="Arial"/>
          <w:b/>
          <w:bCs/>
          <w:color w:val="1B2A4A"/>
          <w:sz w:val="26"/>
          <w:szCs w:val="26"/>
        </w:rPr>
        <w:t xml:space="preserve">THE PROBLEM</w:t>
      </w:r>
    </w:p>
    <w:p>
      <w:pPr>
        <w:pBdr>
          <w:bottom w:val="single" w:color="D6E0EC" w:sz="2" w:space="1"/>
        </w:pBdr>
        <w:spacing w:after="120" w:before="0"/>
      </w:pPr>
    </w:p>
    <w:p>
      <w:pPr>
        <w:spacing w:after="80" w:before="80"/>
        <w:jc w:val="both"/>
      </w:pPr>
      <w:r>
        <w:rPr>
          <w:rFonts w:ascii="Georgia" w:cs="Georgia" w:eastAsia="Georgia" w:hAnsi="Georgia"/>
          <w:b w:val="false"/>
          <w:bCs w:val="false"/>
          <w:i w:val="false"/>
          <w:iCs w:val="false"/>
          <w:color w:val="1A1A1A"/>
          <w:sz w:val="22"/>
          <w:szCs w:val="22"/>
        </w:rPr>
        <w:t xml:space="preserve">Texas school districts face a convergence of ongoing and compounding challenges that threaten the long-term stability of the educator workforce:</w:t>
      </w:r>
    </w:p>
    <w:p>
      <w:pPr>
        <w:pStyle w:val="ListParagraph"/>
        <w:numPr>
          <w:ilvl w:val="0"/>
          <w:numId w:val="2"/>
        </w:numPr>
        <w:spacing w:after="60" w:before="40"/>
      </w:pPr>
      <w:r>
        <w:rPr>
          <w:rFonts w:ascii="Georgia" w:cs="Georgia" w:eastAsia="Georgia" w:hAnsi="Georgia"/>
          <w:color w:val="1A1A1A"/>
          <w:sz w:val="22"/>
          <w:szCs w:val="22"/>
        </w:rPr>
        <w:t xml:space="preserve">Rising healthcare costs</w:t>
      </w:r>
    </w:p>
    <w:p>
      <w:pPr>
        <w:pStyle w:val="ListParagraph"/>
        <w:numPr>
          <w:ilvl w:val="0"/>
          <w:numId w:val="2"/>
        </w:numPr>
        <w:spacing w:after="60" w:before="40"/>
      </w:pPr>
      <w:r>
        <w:rPr>
          <w:rFonts w:ascii="Georgia" w:cs="Georgia" w:eastAsia="Georgia" w:hAnsi="Georgia"/>
          <w:color w:val="1A1A1A"/>
          <w:sz w:val="22"/>
          <w:szCs w:val="22"/>
        </w:rPr>
        <w:t xml:space="preserve">Teacher shortages</w:t>
      </w:r>
    </w:p>
    <w:p>
      <w:pPr>
        <w:pStyle w:val="ListParagraph"/>
        <w:numPr>
          <w:ilvl w:val="0"/>
          <w:numId w:val="2"/>
        </w:numPr>
        <w:spacing w:after="60" w:before="40"/>
      </w:pPr>
      <w:r>
        <w:rPr>
          <w:rFonts w:ascii="Georgia" w:cs="Georgia" w:eastAsia="Georgia" w:hAnsi="Georgia"/>
          <w:color w:val="1A1A1A"/>
          <w:sz w:val="22"/>
          <w:szCs w:val="22"/>
        </w:rPr>
        <w:t xml:space="preserve">Increased employee turnover</w:t>
      </w:r>
    </w:p>
    <w:p>
      <w:pPr>
        <w:pStyle w:val="ListParagraph"/>
        <w:numPr>
          <w:ilvl w:val="0"/>
          <w:numId w:val="2"/>
        </w:numPr>
        <w:spacing w:after="60" w:before="40"/>
      </w:pPr>
      <w:r>
        <w:rPr>
          <w:rFonts w:ascii="Georgia" w:cs="Georgia" w:eastAsia="Georgia" w:hAnsi="Georgia"/>
          <w:color w:val="1A1A1A"/>
          <w:sz w:val="22"/>
          <w:szCs w:val="22"/>
        </w:rPr>
        <w:t xml:space="preserve">Competition from other states</w:t>
      </w:r>
    </w:p>
    <w:p>
      <w:pPr>
        <w:pStyle w:val="ListParagraph"/>
        <w:numPr>
          <w:ilvl w:val="0"/>
          <w:numId w:val="2"/>
        </w:numPr>
        <w:spacing w:after="60" w:before="40"/>
      </w:pPr>
      <w:r>
        <w:rPr>
          <w:rFonts w:ascii="Georgia" w:cs="Georgia" w:eastAsia="Georgia" w:hAnsi="Georgia"/>
          <w:color w:val="1A1A1A"/>
          <w:sz w:val="22"/>
          <w:szCs w:val="22"/>
        </w:rPr>
        <w:t xml:space="preserve">Competition from private industry</w:t>
      </w:r>
    </w:p>
    <w:p>
      <w:pPr>
        <w:pStyle w:val="ListParagraph"/>
        <w:numPr>
          <w:ilvl w:val="0"/>
          <w:numId w:val="2"/>
        </w:numPr>
        <w:spacing w:after="60" w:before="40"/>
      </w:pPr>
      <w:r>
        <w:rPr>
          <w:rFonts w:ascii="Georgia" w:cs="Georgia" w:eastAsia="Georgia" w:hAnsi="Georgia"/>
          <w:color w:val="1A1A1A"/>
          <w:sz w:val="22"/>
          <w:szCs w:val="22"/>
        </w:rPr>
        <w:t xml:space="preserve">Rising insurance premiums</w:t>
      </w:r>
    </w:p>
    <w:p>
      <w:pPr>
        <w:pStyle w:val="ListParagraph"/>
        <w:numPr>
          <w:ilvl w:val="0"/>
          <w:numId w:val="2"/>
        </w:numPr>
        <w:spacing w:after="60" w:before="40"/>
      </w:pPr>
      <w:r>
        <w:rPr>
          <w:rFonts w:ascii="Georgia" w:cs="Georgia" w:eastAsia="Georgia" w:hAnsi="Georgia"/>
          <w:color w:val="1A1A1A"/>
          <w:sz w:val="22"/>
          <w:szCs w:val="22"/>
        </w:rPr>
        <w:t xml:space="preserve">Increasing deductibles</w:t>
      </w:r>
    </w:p>
    <w:p>
      <w:pPr>
        <w:pStyle w:val="ListParagraph"/>
        <w:numPr>
          <w:ilvl w:val="0"/>
          <w:numId w:val="2"/>
        </w:numPr>
        <w:spacing w:after="60" w:before="40"/>
      </w:pPr>
      <w:r>
        <w:rPr>
          <w:rFonts w:ascii="Georgia" w:cs="Georgia" w:eastAsia="Georgia" w:hAnsi="Georgia"/>
          <w:color w:val="1A1A1A"/>
          <w:sz w:val="22"/>
          <w:szCs w:val="22"/>
        </w:rPr>
        <w:t xml:space="preserve">Increasing out-of-pocket costs</w:t>
      </w:r>
    </w:p>
    <w:p>
      <w:pPr>
        <w:pStyle w:val="ListParagraph"/>
        <w:numPr>
          <w:ilvl w:val="0"/>
          <w:numId w:val="2"/>
        </w:numPr>
        <w:spacing w:after="60" w:before="40"/>
      </w:pPr>
      <w:r>
        <w:rPr>
          <w:rFonts w:ascii="Georgia" w:cs="Georgia" w:eastAsia="Georgia" w:hAnsi="Georgia"/>
          <w:color w:val="1A1A1A"/>
          <w:sz w:val="22"/>
          <w:szCs w:val="22"/>
        </w:rPr>
        <w:t xml:space="preserve">Administrative burden associated with managing standalone health plans</w:t>
      </w:r>
    </w:p>
    <w:p>
      <w:pPr>
        <w:spacing w:after="80" w:before="0"/>
      </w:pPr>
      <w:r>
        <w:t xml:space="preserve"/>
      </w:r>
    </w:p>
    <w:p>
      <w:pPr>
        <w:spacing w:after="140" w:before="0"/>
        <w:jc w:val="both"/>
      </w:pPr>
      <w:r>
        <w:rPr>
          <w:rFonts w:ascii="Georgia" w:cs="Georgia" w:eastAsia="Georgia" w:hAnsi="Georgia"/>
          <w:b w:val="false"/>
          <w:bCs w:val="false"/>
          <w:i w:val="false"/>
          <w:iCs w:val="false"/>
          <w:color w:val="1A1A1A"/>
          <w:sz w:val="22"/>
          <w:szCs w:val="22"/>
        </w:rPr>
        <w:t xml:space="preserve">Many experienced educators cite healthcare affordability as one of the primary reasons for early retirement or leaving public education entirely. The cumulative effect is a workforce pipeline that is increasingly difficult to fill and even harder to sustain.</w:t>
      </w:r>
    </w:p>
    <w:p>
      <w:pPr>
        <w:pBdr>
          <w:left w:val="single" w:color="B8860B" w:sz="18" w:space="8"/>
        </w:pBdr>
        <w:spacing w:after="0" w:before="280"/>
      </w:pPr>
      <w:r>
        <w:rPr>
          <w:rFonts w:ascii="Arial" w:cs="Arial" w:eastAsia="Arial" w:hAnsi="Arial"/>
          <w:b/>
          <w:bCs/>
          <w:color w:val="1B2A4A"/>
          <w:sz w:val="26"/>
          <w:szCs w:val="26"/>
        </w:rPr>
        <w:t xml:space="preserve">WHY CURRENT LAW SHOULD BE UPDATED</w:t>
      </w:r>
    </w:p>
    <w:p>
      <w:pPr>
        <w:pBdr>
          <w:bottom w:val="single" w:color="D6E0EC" w:sz="2" w:space="1"/>
        </w:pBdr>
        <w:spacing w:after="120" w:before="0"/>
      </w:pPr>
    </w:p>
    <w:p>
      <w:pPr>
        <w:spacing w:after="100" w:before="80"/>
        <w:jc w:val="both"/>
      </w:pPr>
      <w:r>
        <w:rPr>
          <w:rFonts w:ascii="Georgia" w:cs="Georgia" w:eastAsia="Georgia" w:hAnsi="Georgia"/>
          <w:b w:val="false"/>
          <w:bCs w:val="false"/>
          <w:i w:val="false"/>
          <w:iCs w:val="false"/>
          <w:color w:val="1A1A1A"/>
          <w:sz w:val="22"/>
          <w:szCs w:val="22"/>
        </w:rPr>
        <w:t xml:space="preserve">Texas currently maintains separate healthcare systems for state employees and public school employees. Although each system serves important purposes, current law generally does not provide ISDs with the option of participating in the ERS Group Benefits Program.</w:t>
      </w:r>
    </w:p>
    <w:p>
      <w:pPr>
        <w:spacing w:after="140" w:before="0"/>
        <w:jc w:val="both"/>
      </w:pPr>
      <w:r>
        <w:rPr>
          <w:rFonts w:ascii="Georgia" w:cs="Georgia" w:eastAsia="Georgia" w:hAnsi="Georgia"/>
          <w:b w:val="false"/>
          <w:bCs w:val="false"/>
          <w:i w:val="false"/>
          <w:iCs w:val="false"/>
          <w:color w:val="1A1A1A"/>
          <w:sz w:val="22"/>
          <w:szCs w:val="22"/>
        </w:rPr>
        <w:t xml:space="preserve">Allowing school districts to voluntarily evaluate this option could increase flexibility, expand healthcare access, and reduce administrative complexity — while fully preserving local decision-making authority and protecting the financial integrity of the existing ERS program.</w:t>
      </w:r>
    </w:p>
    <w:p>
      <w:pPr>
        <w:pBdr>
          <w:left w:val="single" w:color="B8860B" w:sz="18" w:space="8"/>
        </w:pBdr>
        <w:spacing w:after="0" w:before="280"/>
      </w:pPr>
      <w:r>
        <w:rPr>
          <w:rFonts w:ascii="Arial" w:cs="Arial" w:eastAsia="Arial" w:hAnsi="Arial"/>
          <w:b/>
          <w:bCs/>
          <w:color w:val="1B2A4A"/>
          <w:sz w:val="26"/>
          <w:szCs w:val="26"/>
        </w:rPr>
        <w:t xml:space="preserve">LEGISLATIVE FINDINGS</w:t>
      </w:r>
    </w:p>
    <w:p>
      <w:pPr>
        <w:pBdr>
          <w:bottom w:val="single" w:color="D6E0EC" w:sz="2" w:space="1"/>
        </w:pBdr>
        <w:spacing w:after="120" w:before="0"/>
      </w:pPr>
    </w:p>
    <w:p>
      <w:pPr>
        <w:spacing w:after="80" w:before="80"/>
        <w:jc w:val="both"/>
      </w:pPr>
      <w:r>
        <w:rPr>
          <w:rFonts w:ascii="Georgia" w:cs="Georgia" w:eastAsia="Georgia" w:hAnsi="Georgia"/>
          <w:b w:val="false"/>
          <w:bCs w:val="false"/>
          <w:i w:val="false"/>
          <w:iCs w:val="false"/>
          <w:color w:val="1A1A1A"/>
          <w:sz w:val="22"/>
          <w:szCs w:val="22"/>
        </w:rPr>
        <w:t xml:space="preserve">The Legislature finds that:</w:t>
      </w:r>
    </w:p>
    <w:p>
      <w:pPr>
        <w:pStyle w:val="ListParagraph"/>
        <w:numPr>
          <w:ilvl w:val="0"/>
          <w:numId w:val="2"/>
        </w:numPr>
        <w:spacing w:after="60" w:before="40"/>
      </w:pPr>
      <w:r>
        <w:rPr>
          <w:rFonts w:ascii="Georgia" w:cs="Georgia" w:eastAsia="Georgia" w:hAnsi="Georgia"/>
          <w:color w:val="1A1A1A"/>
          <w:sz w:val="22"/>
          <w:szCs w:val="22"/>
        </w:rPr>
        <w:t xml:space="preserve">A highly qualified educator workforce is essential to the future success of Texas.</w:t>
      </w:r>
    </w:p>
    <w:p>
      <w:pPr>
        <w:pStyle w:val="ListParagraph"/>
        <w:numPr>
          <w:ilvl w:val="0"/>
          <w:numId w:val="2"/>
        </w:numPr>
        <w:spacing w:after="60" w:before="40"/>
      </w:pPr>
      <w:r>
        <w:rPr>
          <w:rFonts w:ascii="Georgia" w:cs="Georgia" w:eastAsia="Georgia" w:hAnsi="Georgia"/>
          <w:color w:val="1A1A1A"/>
          <w:sz w:val="22"/>
          <w:szCs w:val="22"/>
        </w:rPr>
        <w:t xml:space="preserve">Affordable healthcare is a critical component of educator compensation.</w:t>
      </w:r>
    </w:p>
    <w:p>
      <w:pPr>
        <w:pStyle w:val="ListParagraph"/>
        <w:numPr>
          <w:ilvl w:val="0"/>
          <w:numId w:val="2"/>
        </w:numPr>
        <w:spacing w:after="60" w:before="40"/>
      </w:pPr>
      <w:r>
        <w:rPr>
          <w:rFonts w:ascii="Georgia" w:cs="Georgia" w:eastAsia="Georgia" w:hAnsi="Georgia"/>
          <w:color w:val="1A1A1A"/>
          <w:sz w:val="22"/>
          <w:szCs w:val="22"/>
        </w:rPr>
        <w:t xml:space="preserve">Rising healthcare costs continue to reduce the effective value of educator salaries.</w:t>
      </w:r>
    </w:p>
    <w:p>
      <w:pPr>
        <w:pStyle w:val="ListParagraph"/>
        <w:numPr>
          <w:ilvl w:val="0"/>
          <w:numId w:val="2"/>
        </w:numPr>
        <w:spacing w:after="60" w:before="40"/>
      </w:pPr>
      <w:r>
        <w:rPr>
          <w:rFonts w:ascii="Georgia" w:cs="Georgia" w:eastAsia="Georgia" w:hAnsi="Georgia"/>
          <w:color w:val="1A1A1A"/>
          <w:sz w:val="22"/>
          <w:szCs w:val="22"/>
        </w:rPr>
        <w:t xml:space="preserve">School districts face increasing difficulty recruiting and retaining qualified teachers.</w:t>
      </w:r>
    </w:p>
    <w:p>
      <w:pPr>
        <w:pStyle w:val="ListParagraph"/>
        <w:numPr>
          <w:ilvl w:val="0"/>
          <w:numId w:val="2"/>
        </w:numPr>
        <w:spacing w:after="60" w:before="40"/>
      </w:pPr>
      <w:r>
        <w:rPr>
          <w:rFonts w:ascii="Georgia" w:cs="Georgia" w:eastAsia="Georgia" w:hAnsi="Georgia"/>
          <w:color w:val="1A1A1A"/>
          <w:sz w:val="22"/>
          <w:szCs w:val="22"/>
        </w:rPr>
        <w:t xml:space="preserve">Experienced educators often retire early or leave the profession because healthcare costs become unaffordable.</w:t>
      </w:r>
    </w:p>
    <w:p>
      <w:pPr>
        <w:pStyle w:val="ListParagraph"/>
        <w:numPr>
          <w:ilvl w:val="0"/>
          <w:numId w:val="2"/>
        </w:numPr>
        <w:spacing w:after="60" w:before="40"/>
      </w:pPr>
      <w:r>
        <w:rPr>
          <w:rFonts w:ascii="Georgia" w:cs="Georgia" w:eastAsia="Georgia" w:hAnsi="Georgia"/>
          <w:color w:val="1A1A1A"/>
          <w:sz w:val="22"/>
          <w:szCs w:val="22"/>
        </w:rPr>
        <w:t xml:space="preserve">Texas competes nationally for talented educators, and strong benefit packages improve workforce stability.</w:t>
      </w:r>
    </w:p>
    <w:p>
      <w:pPr>
        <w:pStyle w:val="ListParagraph"/>
        <w:numPr>
          <w:ilvl w:val="0"/>
          <w:numId w:val="2"/>
        </w:numPr>
        <w:spacing w:after="60" w:before="40"/>
      </w:pPr>
      <w:r>
        <w:rPr>
          <w:rFonts w:ascii="Georgia" w:cs="Georgia" w:eastAsia="Georgia" w:hAnsi="Georgia"/>
          <w:color w:val="1A1A1A"/>
          <w:sz w:val="22"/>
          <w:szCs w:val="22"/>
        </w:rPr>
        <w:t xml:space="preserve">Larger insurance purchasing pools generally increase purchasing power and administrative efficiency.</w:t>
      </w:r>
    </w:p>
    <w:p>
      <w:pPr>
        <w:pStyle w:val="ListParagraph"/>
        <w:numPr>
          <w:ilvl w:val="0"/>
          <w:numId w:val="2"/>
        </w:numPr>
        <w:spacing w:after="60" w:before="40"/>
      </w:pPr>
      <w:r>
        <w:rPr>
          <w:rFonts w:ascii="Georgia" w:cs="Georgia" w:eastAsia="Georgia" w:hAnsi="Georgia"/>
          <w:color w:val="1A1A1A"/>
          <w:sz w:val="22"/>
          <w:szCs w:val="22"/>
        </w:rPr>
        <w:t xml:space="preserve">Local school boards should retain the authority to choose the health benefit program that best serves their employees and taxpayers.</w:t>
      </w:r>
    </w:p>
    <w:p>
      <w:pPr>
        <w:pStyle w:val="ListParagraph"/>
        <w:numPr>
          <w:ilvl w:val="0"/>
          <w:numId w:val="2"/>
        </w:numPr>
        <w:spacing w:after="60" w:before="40"/>
      </w:pPr>
      <w:r>
        <w:rPr>
          <w:rFonts w:ascii="Georgia" w:cs="Georgia" w:eastAsia="Georgia" w:hAnsi="Georgia"/>
          <w:color w:val="1A1A1A"/>
          <w:sz w:val="22"/>
          <w:szCs w:val="22"/>
        </w:rPr>
        <w:t xml:space="preserve">Educator health benefits are an essential component of educational excellence, workforce stability, and economic competitiveness in the State of Texas.</w:t>
      </w:r>
    </w:p>
    <w:p>
      <w:pPr>
        <w:spacing w:after="6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PROPOSED LEGISLATION</w:t>
      </w:r>
    </w:p>
    <w:p>
      <w:pPr>
        <w:pBdr>
          <w:bottom w:val="single" w:color="D6E0EC" w:sz="2" w:space="1"/>
        </w:pBdr>
        <w:spacing w:after="120" w:before="0"/>
      </w:pPr>
    </w:p>
    <w:p>
      <w:pPr>
        <w:spacing w:after="80" w:before="80"/>
        <w:jc w:val="both"/>
      </w:pPr>
      <w:r>
        <w:rPr>
          <w:rFonts w:ascii="Georgia" w:cs="Georgia" w:eastAsia="Georgia" w:hAnsi="Georgia"/>
          <w:b w:val="false"/>
          <w:bCs w:val="false"/>
          <w:i w:val="false"/>
          <w:iCs w:val="false"/>
          <w:color w:val="1A1A1A"/>
          <w:sz w:val="22"/>
          <w:szCs w:val="22"/>
        </w:rPr>
        <w:t xml:space="preserve">This bill authorizes the following categories of public education entities to voluntarily participate in the Employees Retirement System of Texas Group Benefits Program:</w:t>
      </w:r>
    </w:p>
    <w:p>
      <w:pPr>
        <w:pStyle w:val="ListParagraph"/>
        <w:numPr>
          <w:ilvl w:val="0"/>
          <w:numId w:val="2"/>
        </w:numPr>
        <w:spacing w:after="60" w:before="40"/>
      </w:pPr>
      <w:r>
        <w:rPr>
          <w:rFonts w:ascii="Georgia" w:cs="Georgia" w:eastAsia="Georgia" w:hAnsi="Georgia"/>
          <w:color w:val="1A1A1A"/>
          <w:sz w:val="22"/>
          <w:szCs w:val="22"/>
        </w:rPr>
        <w:t xml:space="preserve">Independent School Districts</w:t>
      </w:r>
    </w:p>
    <w:p>
      <w:pPr>
        <w:pStyle w:val="ListParagraph"/>
        <w:numPr>
          <w:ilvl w:val="0"/>
          <w:numId w:val="2"/>
        </w:numPr>
        <w:spacing w:after="60" w:before="40"/>
      </w:pPr>
      <w:r>
        <w:rPr>
          <w:rFonts w:ascii="Georgia" w:cs="Georgia" w:eastAsia="Georgia" w:hAnsi="Georgia"/>
          <w:color w:val="1A1A1A"/>
          <w:sz w:val="22"/>
          <w:szCs w:val="22"/>
        </w:rPr>
        <w:t xml:space="preserve">Open Enrollment Charter Schools</w:t>
      </w:r>
    </w:p>
    <w:p>
      <w:pPr>
        <w:pStyle w:val="ListParagraph"/>
        <w:numPr>
          <w:ilvl w:val="0"/>
          <w:numId w:val="2"/>
        </w:numPr>
        <w:spacing w:after="60" w:before="40"/>
      </w:pPr>
      <w:r>
        <w:rPr>
          <w:rFonts w:ascii="Georgia" w:cs="Georgia" w:eastAsia="Georgia" w:hAnsi="Georgia"/>
          <w:color w:val="1A1A1A"/>
          <w:sz w:val="22"/>
          <w:szCs w:val="22"/>
        </w:rPr>
        <w:t xml:space="preserve">Education Service Centers</w:t>
      </w:r>
    </w:p>
    <w:p>
      <w:pPr>
        <w:pStyle w:val="ListParagraph"/>
        <w:numPr>
          <w:ilvl w:val="0"/>
          <w:numId w:val="2"/>
        </w:numPr>
        <w:spacing w:after="60" w:before="40"/>
      </w:pPr>
      <w:r>
        <w:rPr>
          <w:rFonts w:ascii="Georgia" w:cs="Georgia" w:eastAsia="Georgia" w:hAnsi="Georgia"/>
          <w:color w:val="1A1A1A"/>
          <w:sz w:val="22"/>
          <w:szCs w:val="22"/>
        </w:rPr>
        <w:t xml:space="preserve">Public Junior Colleges</w:t>
      </w:r>
    </w:p>
    <w:p>
      <w:pPr>
        <w:spacing w:after="80" w:before="0"/>
      </w:pPr>
      <w:r>
        <w:t xml:space="preserve"/>
      </w:r>
    </w:p>
    <w:p>
      <w:pPr>
        <w:spacing w:after="140" w:before="0"/>
        <w:jc w:val="both"/>
      </w:pPr>
      <w:r>
        <w:rPr>
          <w:rFonts w:ascii="Georgia" w:cs="Georgia" w:eastAsia="Georgia" w:hAnsi="Georgia"/>
          <w:b w:val="false"/>
          <w:bCs w:val="false"/>
          <w:i w:val="false"/>
          <w:iCs w:val="false"/>
          <w:color w:val="1A1A1A"/>
          <w:sz w:val="22"/>
          <w:szCs w:val="22"/>
        </w:rPr>
        <w:t xml:space="preserve">Participation remains entirely optional. Districts choosing not to participate continue operating exactly as they do today, with no change to existing arrangements.</w:t>
      </w:r>
    </w:p>
    <w:p>
      <w:pPr>
        <w:pBdr>
          <w:left w:val="single" w:color="B8860B" w:sz="18" w:space="8"/>
        </w:pBdr>
        <w:spacing w:after="0" w:before="280"/>
      </w:pPr>
      <w:r>
        <w:rPr>
          <w:rFonts w:ascii="Arial" w:cs="Arial" w:eastAsia="Arial" w:hAnsi="Arial"/>
          <w:b/>
          <w:bCs/>
          <w:color w:val="1B2A4A"/>
          <w:sz w:val="26"/>
          <w:szCs w:val="26"/>
        </w:rPr>
        <w:t xml:space="preserve">PUBLIC POLICY GOALS</w:t>
      </w:r>
    </w:p>
    <w:p>
      <w:pPr>
        <w:pBdr>
          <w:bottom w:val="single" w:color="D6E0EC" w:sz="2" w:space="1"/>
        </w:pBdr>
        <w:spacing w:after="120" w:before="0"/>
      </w:pPr>
    </w:p>
    <w:p>
      <w:pPr>
        <w:spacing w:after="80" w:before="80"/>
        <w:jc w:val="both"/>
      </w:pPr>
      <w:r>
        <w:rPr>
          <w:rFonts w:ascii="Georgia" w:cs="Georgia" w:eastAsia="Georgia" w:hAnsi="Georgia"/>
          <w:b w:val="false"/>
          <w:bCs w:val="false"/>
          <w:i w:val="false"/>
          <w:iCs w:val="false"/>
          <w:color w:val="1A1A1A"/>
          <w:sz w:val="22"/>
          <w:szCs w:val="22"/>
        </w:rPr>
        <w:t xml:space="preserve">This legislation seeks to achieve the following public policy objectives:</w:t>
      </w:r>
    </w:p>
    <w:p>
      <w:pPr>
        <w:pStyle w:val="ListParagraph"/>
        <w:numPr>
          <w:ilvl w:val="0"/>
          <w:numId w:val="2"/>
        </w:numPr>
        <w:spacing w:after="60" w:before="40"/>
      </w:pPr>
      <w:r>
        <w:rPr>
          <w:rFonts w:ascii="Georgia" w:cs="Georgia" w:eastAsia="Georgia" w:hAnsi="Georgia"/>
          <w:color w:val="1A1A1A"/>
          <w:sz w:val="22"/>
          <w:szCs w:val="22"/>
        </w:rPr>
        <w:t xml:space="preserve">Improve educator recruitment</w:t>
      </w:r>
    </w:p>
    <w:p>
      <w:pPr>
        <w:pStyle w:val="ListParagraph"/>
        <w:numPr>
          <w:ilvl w:val="0"/>
          <w:numId w:val="2"/>
        </w:numPr>
        <w:spacing w:after="60" w:before="40"/>
      </w:pPr>
      <w:r>
        <w:rPr>
          <w:rFonts w:ascii="Georgia" w:cs="Georgia" w:eastAsia="Georgia" w:hAnsi="Georgia"/>
          <w:color w:val="1A1A1A"/>
          <w:sz w:val="22"/>
          <w:szCs w:val="22"/>
        </w:rPr>
        <w:t xml:space="preserve">Improve educator retention</w:t>
      </w:r>
    </w:p>
    <w:p>
      <w:pPr>
        <w:pStyle w:val="ListParagraph"/>
        <w:numPr>
          <w:ilvl w:val="0"/>
          <w:numId w:val="2"/>
        </w:numPr>
        <w:spacing w:after="60" w:before="40"/>
      </w:pPr>
      <w:r>
        <w:rPr>
          <w:rFonts w:ascii="Georgia" w:cs="Georgia" w:eastAsia="Georgia" w:hAnsi="Georgia"/>
          <w:color w:val="1A1A1A"/>
          <w:sz w:val="22"/>
          <w:szCs w:val="22"/>
        </w:rPr>
        <w:t xml:space="preserve">Increase healthcare affordability</w:t>
      </w:r>
    </w:p>
    <w:p>
      <w:pPr>
        <w:pStyle w:val="ListParagraph"/>
        <w:numPr>
          <w:ilvl w:val="0"/>
          <w:numId w:val="2"/>
        </w:numPr>
        <w:spacing w:after="60" w:before="40"/>
      </w:pPr>
      <w:r>
        <w:rPr>
          <w:rFonts w:ascii="Georgia" w:cs="Georgia" w:eastAsia="Georgia" w:hAnsi="Georgia"/>
          <w:color w:val="1A1A1A"/>
          <w:sz w:val="22"/>
          <w:szCs w:val="22"/>
        </w:rPr>
        <w:t xml:space="preserve">Strengthen educator compensation</w:t>
      </w:r>
    </w:p>
    <w:p>
      <w:pPr>
        <w:pStyle w:val="ListParagraph"/>
        <w:numPr>
          <w:ilvl w:val="0"/>
          <w:numId w:val="2"/>
        </w:numPr>
        <w:spacing w:after="60" w:before="40"/>
      </w:pPr>
      <w:r>
        <w:rPr>
          <w:rFonts w:ascii="Georgia" w:cs="Georgia" w:eastAsia="Georgia" w:hAnsi="Georgia"/>
          <w:color w:val="1A1A1A"/>
          <w:sz w:val="22"/>
          <w:szCs w:val="22"/>
        </w:rPr>
        <w:t xml:space="preserve">Preserve local control</w:t>
      </w:r>
    </w:p>
    <w:p>
      <w:pPr>
        <w:pStyle w:val="ListParagraph"/>
        <w:numPr>
          <w:ilvl w:val="0"/>
          <w:numId w:val="2"/>
        </w:numPr>
        <w:spacing w:after="60" w:before="40"/>
      </w:pPr>
      <w:r>
        <w:rPr>
          <w:rFonts w:ascii="Georgia" w:cs="Georgia" w:eastAsia="Georgia" w:hAnsi="Georgia"/>
          <w:color w:val="1A1A1A"/>
          <w:sz w:val="22"/>
          <w:szCs w:val="22"/>
        </w:rPr>
        <w:t xml:space="preserve">Protect taxpayers</w:t>
      </w:r>
    </w:p>
    <w:p>
      <w:pPr>
        <w:pStyle w:val="ListParagraph"/>
        <w:numPr>
          <w:ilvl w:val="0"/>
          <w:numId w:val="2"/>
        </w:numPr>
        <w:spacing w:after="60" w:before="40"/>
      </w:pPr>
      <w:r>
        <w:rPr>
          <w:rFonts w:ascii="Georgia" w:cs="Georgia" w:eastAsia="Georgia" w:hAnsi="Georgia"/>
          <w:color w:val="1A1A1A"/>
          <w:sz w:val="22"/>
          <w:szCs w:val="22"/>
        </w:rPr>
        <w:t xml:space="preserve">Improve purchasing power</w:t>
      </w:r>
    </w:p>
    <w:p>
      <w:pPr>
        <w:pStyle w:val="ListParagraph"/>
        <w:numPr>
          <w:ilvl w:val="0"/>
          <w:numId w:val="2"/>
        </w:numPr>
        <w:spacing w:after="60" w:before="40"/>
      </w:pPr>
      <w:r>
        <w:rPr>
          <w:rFonts w:ascii="Georgia" w:cs="Georgia" w:eastAsia="Georgia" w:hAnsi="Georgia"/>
          <w:color w:val="1A1A1A"/>
          <w:sz w:val="22"/>
          <w:szCs w:val="22"/>
        </w:rPr>
        <w:t xml:space="preserve">Increase administrative efficiency</w:t>
      </w:r>
    </w:p>
    <w:p>
      <w:pPr>
        <w:pStyle w:val="ListParagraph"/>
        <w:numPr>
          <w:ilvl w:val="0"/>
          <w:numId w:val="2"/>
        </w:numPr>
        <w:spacing w:after="60" w:before="40"/>
      </w:pPr>
      <w:r>
        <w:rPr>
          <w:rFonts w:ascii="Georgia" w:cs="Georgia" w:eastAsia="Georgia" w:hAnsi="Georgia"/>
          <w:color w:val="1A1A1A"/>
          <w:sz w:val="22"/>
          <w:szCs w:val="22"/>
        </w:rPr>
        <w:t xml:space="preserve">Improve workforce stability</w:t>
      </w:r>
    </w:p>
    <w:p>
      <w:pPr>
        <w:pStyle w:val="ListParagraph"/>
        <w:numPr>
          <w:ilvl w:val="0"/>
          <w:numId w:val="2"/>
        </w:numPr>
        <w:spacing w:after="60" w:before="40"/>
      </w:pPr>
      <w:r>
        <w:rPr>
          <w:rFonts w:ascii="Georgia" w:cs="Georgia" w:eastAsia="Georgia" w:hAnsi="Georgia"/>
          <w:color w:val="1A1A1A"/>
          <w:sz w:val="22"/>
          <w:szCs w:val="22"/>
        </w:rPr>
        <w:t xml:space="preserve">Strengthen public education</w:t>
      </w:r>
    </w:p>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GUIDING PRINCIPLES</w:t>
      </w:r>
    </w:p>
    <w:p>
      <w:pPr>
        <w:pBdr>
          <w:bottom w:val="single" w:color="D6E0EC" w:sz="2" w:space="1"/>
        </w:pBdr>
        <w:spacing w:after="120" w:before="0"/>
      </w:pPr>
    </w:p>
    <w:p>
      <w:pPr>
        <w:spacing w:after="100" w:before="80"/>
        <w:jc w:val="both"/>
      </w:pPr>
      <w:r>
        <w:rPr>
          <w:rFonts w:ascii="Georgia" w:cs="Georgia" w:eastAsia="Georgia" w:hAnsi="Georgia"/>
          <w:b w:val="false"/>
          <w:bCs w:val="false"/>
          <w:i w:val="false"/>
          <w:iCs w:val="false"/>
          <w:color w:val="1A1A1A"/>
          <w:sz w:val="22"/>
          <w:szCs w:val="22"/>
        </w:rPr>
        <w:t xml:space="preserve">Every provision of this legislation is designed to satisfy five core principles. These principles collectively ensure that the Act expands opportunity without expanding government, protects existing stakeholders, and respects the authority of local communities.</w:t>
      </w:r>
    </w:p>
    <w:p>
      <w:pPr>
        <w:spacing w:after="40" w:before="140"/>
      </w:pPr>
      <w:r>
        <w:rPr>
          <w:rFonts w:ascii="Arial" w:cs="Arial" w:eastAsia="Arial" w:hAnsi="Arial"/>
          <w:b/>
          <w:bCs/>
          <w:color w:val="B8860B"/>
          <w:sz w:val="22"/>
          <w:szCs w:val="22"/>
        </w:rPr>
        <w:t xml:space="preserve">Local Control</w:t>
      </w:r>
    </w:p>
    <w:p>
      <w:pPr>
        <w:spacing w:after="80" w:before="0"/>
      </w:pPr>
      <w:r>
        <w:rPr>
          <w:rFonts w:ascii="Georgia" w:cs="Georgia" w:eastAsia="Georgia" w:hAnsi="Georgia"/>
          <w:color w:val="1A1A1A"/>
          <w:sz w:val="22"/>
          <w:szCs w:val="22"/>
        </w:rPr>
        <w:t xml:space="preserve">Participation remains entirely voluntary. No school district is required to change its current arrangements. Every decision rests with the locally elected school board.</w:t>
      </w:r>
    </w:p>
    <w:p>
      <w:pPr>
        <w:spacing w:after="40" w:before="140"/>
      </w:pPr>
      <w:r>
        <w:rPr>
          <w:rFonts w:ascii="Arial" w:cs="Arial" w:eastAsia="Arial" w:hAnsi="Arial"/>
          <w:b/>
          <w:bCs/>
          <w:color w:val="B8860B"/>
          <w:sz w:val="22"/>
          <w:szCs w:val="22"/>
        </w:rPr>
        <w:t xml:space="preserve">Fiscal Responsibility</w:t>
      </w:r>
    </w:p>
    <w:p>
      <w:pPr>
        <w:spacing w:after="80" w:before="0"/>
      </w:pPr>
      <w:r>
        <w:rPr>
          <w:rFonts w:ascii="Georgia" w:cs="Georgia" w:eastAsia="Georgia" w:hAnsi="Georgia"/>
          <w:color w:val="1A1A1A"/>
          <w:sz w:val="22"/>
          <w:szCs w:val="22"/>
        </w:rPr>
        <w:t xml:space="preserve">Existing ERS participants are protected through mandatory actuarial review before any new districts may participate. ERS retains full administrative authority to set reserve requirements, waiting periods, and participation thresholds.</w:t>
      </w:r>
    </w:p>
    <w:p>
      <w:pPr>
        <w:spacing w:after="40" w:before="140"/>
      </w:pPr>
      <w:r>
        <w:rPr>
          <w:rFonts w:ascii="Arial" w:cs="Arial" w:eastAsia="Arial" w:hAnsi="Arial"/>
          <w:b/>
          <w:bCs/>
          <w:color w:val="B8860B"/>
          <w:sz w:val="22"/>
          <w:szCs w:val="22"/>
        </w:rPr>
        <w:t xml:space="preserve">Choice</w:t>
      </w:r>
    </w:p>
    <w:p>
      <w:pPr>
        <w:spacing w:after="80" w:before="0"/>
      </w:pPr>
      <w:r>
        <w:rPr>
          <w:rFonts w:ascii="Georgia" w:cs="Georgia" w:eastAsia="Georgia" w:hAnsi="Georgia"/>
          <w:color w:val="1A1A1A"/>
          <w:sz w:val="22"/>
          <w:szCs w:val="22"/>
        </w:rPr>
        <w:t xml:space="preserve">School districts gain an additional option rather than losing existing ones. No current health plan is eliminated. Districts simply have more flexibility to evaluate what best serves their employees.</w:t>
      </w:r>
    </w:p>
    <w:p>
      <w:pPr>
        <w:spacing w:after="40" w:before="140"/>
      </w:pPr>
      <w:r>
        <w:rPr>
          <w:rFonts w:ascii="Arial" w:cs="Arial" w:eastAsia="Arial" w:hAnsi="Arial"/>
          <w:b/>
          <w:bCs/>
          <w:color w:val="B8860B"/>
          <w:sz w:val="22"/>
          <w:szCs w:val="22"/>
        </w:rPr>
        <w:t xml:space="preserve">Simplicity</w:t>
      </w:r>
    </w:p>
    <w:p>
      <w:pPr>
        <w:spacing w:after="80" w:before="0"/>
      </w:pPr>
      <w:r>
        <w:rPr>
          <w:rFonts w:ascii="Georgia" w:cs="Georgia" w:eastAsia="Georgia" w:hAnsi="Georgia"/>
          <w:color w:val="1A1A1A"/>
          <w:sz w:val="22"/>
          <w:szCs w:val="22"/>
        </w:rPr>
        <w:t xml:space="preserve">The legislation builds upon existing state infrastructure rather than creating a new bureaucracy. ERS already administers a well-established Group Benefits Program — this Act extends access to it, nothing more.</w:t>
      </w:r>
    </w:p>
    <w:p>
      <w:pPr>
        <w:spacing w:after="40" w:before="140"/>
      </w:pPr>
      <w:r>
        <w:rPr>
          <w:rFonts w:ascii="Arial" w:cs="Arial" w:eastAsia="Arial" w:hAnsi="Arial"/>
          <w:b/>
          <w:bCs/>
          <w:color w:val="B8860B"/>
          <w:sz w:val="22"/>
          <w:szCs w:val="22"/>
        </w:rPr>
        <w:t xml:space="preserve">Accountability</w:t>
      </w:r>
    </w:p>
    <w:p>
      <w:pPr>
        <w:spacing w:after="80" w:before="0"/>
      </w:pPr>
      <w:r>
        <w:rPr>
          <w:rFonts w:ascii="Georgia" w:cs="Georgia" w:eastAsia="Georgia" w:hAnsi="Georgia"/>
          <w:color w:val="1A1A1A"/>
          <w:sz w:val="22"/>
          <w:szCs w:val="22"/>
        </w:rPr>
        <w:t xml:space="preserve">Annual legislative reporting will measure program performance, participation levels, cost impacts, and administrative outcomes — ensuring transparency and ongoing legislative oversight.</w:t>
      </w:r>
    </w:p>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LOCAL CONTROL</w:t>
      </w:r>
    </w:p>
    <w:p>
      <w:pPr>
        <w:pBdr>
          <w:bottom w:val="single" w:color="D6E0EC" w:sz="2" w:space="1"/>
        </w:pBdr>
        <w:spacing w:after="120" w:before="0"/>
      </w:pPr>
    </w:p>
    <w:p>
      <w:pPr>
        <w:spacing w:after="80" w:before="80"/>
        <w:jc w:val="both"/>
      </w:pPr>
      <w:r>
        <w:rPr>
          <w:rFonts w:ascii="Georgia" w:cs="Georgia" w:eastAsia="Georgia" w:hAnsi="Georgia"/>
          <w:b w:val="false"/>
          <w:bCs w:val="false"/>
          <w:i w:val="false"/>
          <w:iCs w:val="false"/>
          <w:color w:val="1A1A1A"/>
          <w:sz w:val="22"/>
          <w:szCs w:val="22"/>
        </w:rPr>
        <w:t xml:space="preserve">The Act is designed to strengthen — not supersede — local governance. Each school board independently determines whether ERS participation serves the best interests of its employees and community. Participation requires each of the following steps:</w:t>
      </w:r>
    </w:p>
    <w:p>
      <w:pPr>
        <w:pStyle w:val="ListParagraph"/>
        <w:numPr>
          <w:ilvl w:val="0"/>
          <w:numId w:val="3"/>
        </w:numPr>
        <w:spacing w:after="60" w:before="40"/>
      </w:pPr>
      <w:r>
        <w:rPr>
          <w:rFonts w:ascii="Georgia" w:cs="Georgia" w:eastAsia="Georgia" w:hAnsi="Georgia"/>
          <w:color w:val="1A1A1A"/>
          <w:sz w:val="22"/>
          <w:szCs w:val="22"/>
        </w:rPr>
        <w:t xml:space="preserve">Public meetings with community notice and opportunity for comment</w:t>
      </w:r>
    </w:p>
    <w:p>
      <w:pPr>
        <w:pStyle w:val="ListParagraph"/>
        <w:numPr>
          <w:ilvl w:val="0"/>
          <w:numId w:val="3"/>
        </w:numPr>
        <w:spacing w:after="60" w:before="40"/>
      </w:pPr>
      <w:r>
        <w:rPr>
          <w:rFonts w:ascii="Georgia" w:cs="Georgia" w:eastAsia="Georgia" w:hAnsi="Georgia"/>
          <w:color w:val="1A1A1A"/>
          <w:sz w:val="22"/>
          <w:szCs w:val="22"/>
        </w:rPr>
        <w:t xml:space="preserve">Independent financial review of participation costs and projected impacts</w:t>
      </w:r>
    </w:p>
    <w:p>
      <w:pPr>
        <w:pStyle w:val="ListParagraph"/>
        <w:numPr>
          <w:ilvl w:val="0"/>
          <w:numId w:val="3"/>
        </w:numPr>
        <w:spacing w:after="60" w:before="40"/>
      </w:pPr>
      <w:r>
        <w:rPr>
          <w:rFonts w:ascii="Georgia" w:cs="Georgia" w:eastAsia="Georgia" w:hAnsi="Georgia"/>
          <w:color w:val="1A1A1A"/>
          <w:sz w:val="22"/>
          <w:szCs w:val="22"/>
        </w:rPr>
        <w:t xml:space="preserve">Formal approval by the elected school board</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E0EC" w:sz="1"/>
              <w:left w:val="single" w:color="B8860B" w:sz="14"/>
              <w:bottom w:val="single" w:color="D6E0EC" w:sz="1"/>
              <w:right w:val="single" w:color="D6E0EC" w:sz="1"/>
            </w:tcBorders>
            <w:shd w:fill="EEF2F7" w:val="clear"/>
            <w:tcMar>
              <w:top w:type="dxa" w:w="160"/>
              <w:left w:type="dxa" w:w="240"/>
              <w:bottom w:type="dxa" w:w="160"/>
              <w:right w:type="dxa" w:w="240"/>
            </w:tcMar>
          </w:tcPr>
          <w:p>
            <w:pPr>
              <w:spacing w:after="40" w:before="40"/>
            </w:pPr>
            <w:r>
              <w:rPr>
                <w:rFonts w:ascii="Georgia" w:cs="Georgia" w:eastAsia="Georgia" w:hAnsi="Georgia"/>
                <w:i w:val="false"/>
                <w:iCs w:val="false"/>
                <w:color w:val="1A1A1A"/>
                <w:sz w:val="22"/>
                <w:szCs w:val="22"/>
              </w:rPr>
              <w:t xml:space="preserve">No mandate exists. No district is required to change its current health benefit arrangements. This Act creates a voluntary pathway — nothing more.</w:t>
            </w:r>
          </w:p>
        </w:tc>
      </w:tr>
    </w:tbl>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FISCAL RESPONSIBILITY</w:t>
      </w:r>
    </w:p>
    <w:p>
      <w:pPr>
        <w:pBdr>
          <w:bottom w:val="single" w:color="D6E0EC" w:sz="2" w:space="1"/>
        </w:pBdr>
        <w:spacing w:after="120" w:before="0"/>
      </w:pPr>
    </w:p>
    <w:p>
      <w:pPr>
        <w:spacing w:after="100" w:before="80"/>
        <w:jc w:val="both"/>
      </w:pPr>
      <w:r>
        <w:rPr>
          <w:rFonts w:ascii="Georgia" w:cs="Georgia" w:eastAsia="Georgia" w:hAnsi="Georgia"/>
          <w:b w:val="false"/>
          <w:bCs w:val="false"/>
          <w:i w:val="false"/>
          <w:iCs w:val="false"/>
          <w:color w:val="1A1A1A"/>
          <w:sz w:val="22"/>
          <w:szCs w:val="22"/>
        </w:rPr>
        <w:t xml:space="preserve">The legislation includes robust safeguards to protect existing ERS participants and Texas taxpayers. Participation by school districts may proceed only after actuarial review demonstrates that the addition of participating districts will not materially increase costs for existing ERS members.</w:t>
      </w:r>
    </w:p>
    <w:p>
      <w:pPr>
        <w:spacing w:after="80" w:before="0"/>
        <w:jc w:val="both"/>
      </w:pPr>
      <w:r>
        <w:rPr>
          <w:rFonts w:ascii="Georgia" w:cs="Georgia" w:eastAsia="Georgia" w:hAnsi="Georgia"/>
          <w:b w:val="false"/>
          <w:bCs w:val="false"/>
          <w:i w:val="false"/>
          <w:iCs w:val="false"/>
          <w:color w:val="1A1A1A"/>
          <w:sz w:val="22"/>
          <w:szCs w:val="22"/>
        </w:rPr>
        <w:t xml:space="preserve">ERS retains full authority to establish:</w:t>
      </w:r>
    </w:p>
    <w:p>
      <w:pPr>
        <w:pStyle w:val="ListParagraph"/>
        <w:numPr>
          <w:ilvl w:val="0"/>
          <w:numId w:val="2"/>
        </w:numPr>
        <w:spacing w:after="60" w:before="40"/>
      </w:pPr>
      <w:r>
        <w:rPr>
          <w:rFonts w:ascii="Georgia" w:cs="Georgia" w:eastAsia="Georgia" w:hAnsi="Georgia"/>
          <w:color w:val="1A1A1A"/>
          <w:sz w:val="22"/>
          <w:szCs w:val="22"/>
        </w:rPr>
        <w:t xml:space="preserve">Reserve requirements appropriate to the expanded risk pool</w:t>
      </w:r>
    </w:p>
    <w:p>
      <w:pPr>
        <w:pStyle w:val="ListParagraph"/>
        <w:numPr>
          <w:ilvl w:val="0"/>
          <w:numId w:val="2"/>
        </w:numPr>
        <w:spacing w:after="60" w:before="40"/>
      </w:pPr>
      <w:r>
        <w:rPr>
          <w:rFonts w:ascii="Georgia" w:cs="Georgia" w:eastAsia="Georgia" w:hAnsi="Georgia"/>
          <w:color w:val="1A1A1A"/>
          <w:sz w:val="22"/>
          <w:szCs w:val="22"/>
        </w:rPr>
        <w:t xml:space="preserve">Waiting periods before participation becomes effective</w:t>
      </w:r>
    </w:p>
    <w:p>
      <w:pPr>
        <w:pStyle w:val="ListParagraph"/>
        <w:numPr>
          <w:ilvl w:val="0"/>
          <w:numId w:val="2"/>
        </w:numPr>
        <w:spacing w:after="60" w:before="40"/>
      </w:pPr>
      <w:r>
        <w:rPr>
          <w:rFonts w:ascii="Georgia" w:cs="Georgia" w:eastAsia="Georgia" w:hAnsi="Georgia"/>
          <w:color w:val="1A1A1A"/>
          <w:sz w:val="22"/>
          <w:szCs w:val="22"/>
        </w:rPr>
        <w:t xml:space="preserve">Minimum participation thresholds to ensure pool stability</w:t>
      </w:r>
    </w:p>
    <w:p>
      <w:pPr>
        <w:pStyle w:val="ListParagraph"/>
        <w:numPr>
          <w:ilvl w:val="0"/>
          <w:numId w:val="2"/>
        </w:numPr>
        <w:spacing w:after="60" w:before="40"/>
      </w:pPr>
      <w:r>
        <w:rPr>
          <w:rFonts w:ascii="Georgia" w:cs="Georgia" w:eastAsia="Georgia" w:hAnsi="Georgia"/>
          <w:color w:val="1A1A1A"/>
          <w:sz w:val="22"/>
          <w:szCs w:val="22"/>
        </w:rPr>
        <w:t xml:space="preserve">Administrative rules necessary to protect the financial integrity of the program</w:t>
      </w:r>
    </w:p>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KEY BENEFITS</w:t>
      </w:r>
    </w:p>
    <w:p>
      <w:pPr>
        <w:pBdr>
          <w:bottom w:val="single" w:color="D6E0EC" w:sz="2" w:space="1"/>
        </w:pBdr>
        <w:spacing w:after="120" w:before="0"/>
      </w:pP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2600"/>
        <w:gridCol w:w="6200"/>
      </w:tblGrid>
      <w:tr>
        <w:trPr>
          <w:tblHeader/>
        </w:trPr>
        <w:tc>
          <w:tcPr>
            <w:tcW w:type="dxa" w:w="560"/>
            <w:tcBorders>
              <w:top w:val="single" w:color="1B2A4A" w:sz="1"/>
              <w:left w:val="single" w:color="1B2A4A" w:sz="1"/>
              <w:bottom w:val="single" w:color="1B2A4A" w:sz="1"/>
              <w:right w:val="single" w:color="1B2A4A" w:sz="1"/>
            </w:tcBorders>
            <w:shd w:fill="1B2A4A" w:val="clear"/>
            <w:tcMar>
              <w:top w:type="dxa" w:w="100"/>
              <w:left w:type="dxa" w:w="80"/>
              <w:bottom w:type="dxa" w:w="100"/>
              <w:right w:type="dxa" w:w="80"/>
            </w:tcMar>
          </w:tcPr>
          <w:p>
            <w:pPr>
              <w:jc w:val="center"/>
            </w:pPr>
            <w:r>
              <w:rPr>
                <w:rFonts w:ascii="Arial" w:cs="Arial" w:eastAsia="Arial" w:hAnsi="Arial"/>
                <w:b/>
                <w:bCs/>
                <w:color w:val="FFFFFF"/>
                <w:sz w:val="21"/>
                <w:szCs w:val="21"/>
              </w:rPr>
              <w:t xml:space="preserve">#</w:t>
            </w:r>
          </w:p>
        </w:tc>
        <w:tc>
          <w:tcPr>
            <w:tcW w:type="dxa" w:w="2600"/>
            <w:tcBorders>
              <w:top w:val="single" w:color="1B2A4A" w:sz="1"/>
              <w:left w:val="single" w:color="1B2A4A" w:sz="1"/>
              <w:bottom w:val="single" w:color="1B2A4A" w:sz="1"/>
              <w:right w:val="single" w:color="1B2A4A" w:sz="1"/>
            </w:tcBorders>
            <w:shd w:fill="1B2A4A" w:val="clear"/>
            <w:tcMar>
              <w:top w:type="dxa" w:w="100"/>
              <w:left w:type="dxa" w:w="160"/>
              <w:bottom w:type="dxa" w:w="100"/>
              <w:right w:type="dxa" w:w="160"/>
            </w:tcMar>
          </w:tcPr>
          <w:p>
            <w:r>
              <w:rPr>
                <w:rFonts w:ascii="Arial" w:cs="Arial" w:eastAsia="Arial" w:hAnsi="Arial"/>
                <w:b/>
                <w:bCs/>
                <w:color w:val="FFFFFF"/>
                <w:sz w:val="21"/>
                <w:szCs w:val="21"/>
              </w:rPr>
              <w:t xml:space="preserve">Benefit</w:t>
            </w:r>
          </w:p>
        </w:tc>
        <w:tc>
          <w:tcPr>
            <w:tcW w:type="dxa" w:w="6200"/>
            <w:tcBorders>
              <w:top w:val="single" w:color="1B2A4A" w:sz="1"/>
              <w:left w:val="single" w:color="1B2A4A" w:sz="1"/>
              <w:bottom w:val="single" w:color="1B2A4A" w:sz="1"/>
              <w:right w:val="single" w:color="1B2A4A" w:sz="1"/>
            </w:tcBorders>
            <w:shd w:fill="1B2A4A" w:val="clear"/>
            <w:tcMar>
              <w:top w:type="dxa" w:w="100"/>
              <w:left w:type="dxa" w:w="160"/>
              <w:bottom w:type="dxa" w:w="100"/>
              <w:right w:type="dxa" w:w="160"/>
            </w:tcMar>
          </w:tcPr>
          <w:p>
            <w:r>
              <w:rPr>
                <w:rFonts w:ascii="Arial" w:cs="Arial" w:eastAsia="Arial" w:hAnsi="Arial"/>
                <w:b/>
                <w:bCs/>
                <w:color w:val="FFFFFF"/>
                <w:sz w:val="21"/>
                <w:szCs w:val="21"/>
              </w:rPr>
              <w:t xml:space="preserve">Description</w:t>
            </w:r>
          </w:p>
        </w:tc>
      </w:tr>
      <w:tr>
        <w:tc>
          <w:tcPr>
            <w:tcW w:type="dxa" w:w="9360"/>
            <w:gridSpan w:val="3"/>
            <w:tcBorders>
              <w:top w:val="single" w:color="1B2A4A" w:sz="1"/>
              <w:left w:val="single" w:color="1B2A4A" w:sz="1"/>
              <w:bottom w:val="single" w:color="1B2A4A" w:sz="1"/>
              <w:right w:val="single" w:color="1B2A4A" w:sz="1"/>
            </w:tcBorders>
            <w:shd w:fill="D6E0EC" w:val="clear"/>
            <w:tcMar>
              <w:top w:type="dxa" w:w="80"/>
              <w:left w:type="dxa" w:w="180"/>
              <w:bottom w:type="dxa" w:w="80"/>
              <w:right w:type="dxa" w:w="180"/>
            </w:tcMar>
          </w:tcPr>
          <w:p>
            <w:r>
              <w:rPr>
                <w:rFonts w:ascii="Arial" w:cs="Arial" w:eastAsia="Arial" w:hAnsi="Arial"/>
                <w:b/>
                <w:bCs/>
                <w:color w:val="1B2A4A"/>
                <w:spacing w:val="60"/>
                <w:sz w:val="20"/>
                <w:szCs w:val="20"/>
              </w:rPr>
              <w:t xml:space="preserve">WORKFORCE RECRUITMENT</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Teacher Recruitment</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Competitive healthcare benefits give Texas districts a meaningful edge in a national marketplace for qualified classroom educators.</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Business Professional Recruitment</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Strong benefits packages make teaching an attractive second career for professionals leaving corporate, financial, and business sectors.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3</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Military Veteran Recruitment</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Veterans transitioning out of service are accustomed to comprehensive healthcare coverage; ERS-equivalent benefits make the classroom a natural next chapter.</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4</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STEM Professional Recruitment</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Engineers, technologists, and scientists weigh total compensation carefully. Quality healthcare closes the gap between private-sector and public education offers.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5</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Healthcare Professional Recruitment</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Clinical and allied health professionals entering education expect benefit continuity; ERS participation helps districts meet that expectation.</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6</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Support Staff Recruitment</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Paraprofessionals, counselors, and administrative staff are equally essential to district operations and respond to the same benefit-driven incentives.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7</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Improved Rural Recruitment</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Small and rural districts gain access to a statewide pool that levels the playing field against larger, better-resourced urban competitors.</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8</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Improved Urban Recruitment</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Urban districts competing with private-sector employers in dense labor markets benefit from a more compelling total compensation package.</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9</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Specialized Personnel Recruitment</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Districts frequently struggle to recruit school nurses, special education specialists, speech therapists, occupational therapists, psychologists, counselors, STEM teachers, and career and technical education instructors. Competitive healthcare benefits strengthen the district's ability to attract and retain these high-demand professionals.</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10</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Support &amp; Operations Staff Recruitment</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Districts face growing shortages among bus drivers, maintenance personnel, custodians, food service workers, administrative staff, and instructional aides. Competitive benefits extend the district's recruiting reach into these essential operational roles, improving both attraction and retention across the full workforce.</w:t>
            </w:r>
          </w:p>
        </w:tc>
      </w:tr>
      <w:tr>
        <w:tc>
          <w:tcPr>
            <w:tcW w:type="dxa" w:w="9360"/>
            <w:gridSpan w:val="3"/>
            <w:tcBorders>
              <w:top w:val="single" w:color="1B2A4A" w:sz="1"/>
              <w:left w:val="single" w:color="1B2A4A" w:sz="1"/>
              <w:bottom w:val="single" w:color="1B2A4A" w:sz="1"/>
              <w:right w:val="single" w:color="1B2A4A" w:sz="1"/>
            </w:tcBorders>
            <w:shd w:fill="D6E0EC" w:val="clear"/>
            <w:tcMar>
              <w:top w:type="dxa" w:w="80"/>
              <w:left w:type="dxa" w:w="180"/>
              <w:bottom w:type="dxa" w:w="80"/>
              <w:right w:type="dxa" w:w="180"/>
            </w:tcMar>
          </w:tcPr>
          <w:p>
            <w:r>
              <w:rPr>
                <w:rFonts w:ascii="Arial" w:cs="Arial" w:eastAsia="Arial" w:hAnsi="Arial"/>
                <w:b/>
                <w:bCs/>
                <w:color w:val="1B2A4A"/>
                <w:spacing w:val="60"/>
                <w:sz w:val="20"/>
                <w:szCs w:val="20"/>
              </w:rPr>
              <w:t xml:space="preserve">WORKFORCE RETENTION</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11</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Teacher Retention</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Educators who value their healthcare coverage have a concrete financial reason to remain in the classroom rather than seek private-sector alternatives.</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12</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Experienced Educator Retention</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Veteran teachers — whose institutional knowledge is irreplaceable — often leave because healthcare costs become unaffordable in later career stages. Quality coverage keeps them in service.</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13</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Improved Educator Morale</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Employees who feel valued and financially secure demonstrate higher job satisfaction, stronger commitment, and more effective classroom performance.</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14</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Reduced Burnout</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Financial stress is a leading driver of educator burnout. Reliable, affordable healthcare removes a chronic source of anxiety that degrades professional performance.</w:t>
            </w:r>
          </w:p>
        </w:tc>
      </w:tr>
      <w:tr>
        <w:tc>
          <w:tcPr>
            <w:tcW w:type="dxa" w:w="9360"/>
            <w:gridSpan w:val="3"/>
            <w:tcBorders>
              <w:top w:val="single" w:color="1B2A4A" w:sz="1"/>
              <w:left w:val="single" w:color="1B2A4A" w:sz="1"/>
              <w:bottom w:val="single" w:color="1B2A4A" w:sz="1"/>
              <w:right w:val="single" w:color="1B2A4A" w:sz="1"/>
            </w:tcBorders>
            <w:shd w:fill="D6E0EC" w:val="clear"/>
            <w:tcMar>
              <w:top w:type="dxa" w:w="80"/>
              <w:left w:type="dxa" w:w="180"/>
              <w:bottom w:type="dxa" w:w="80"/>
              <w:right w:type="dxa" w:w="180"/>
            </w:tcMar>
          </w:tcPr>
          <w:p>
            <w:r>
              <w:rPr>
                <w:rFonts w:ascii="Arial" w:cs="Arial" w:eastAsia="Arial" w:hAnsi="Arial"/>
                <w:b/>
                <w:bCs/>
                <w:color w:val="1B2A4A"/>
                <w:spacing w:val="60"/>
                <w:sz w:val="20"/>
                <w:szCs w:val="20"/>
              </w:rPr>
              <w:t xml:space="preserve">FINANCIAL &amp; ADMINISTRATIVE EFFICIENCY</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15</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Reduced Turnover</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Higher retention directly reduces the frequency of costly replacement cycles across the district workforce.</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16</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Reduced Hiring Costs</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Each unfilled vacancy requires advertising, screening, interviewing, and selection — costs that compound across high-turnover environments.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17</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Lower Training Costs</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New hires require significant onboarding investment. Retaining experienced staff eliminates recurring expenditures on orientation, mentoring, and professional development for replacements.</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18</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Reduced Administrative Costs</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Participation in an established statewide program reduces the internal administrative burden of managing standalone district health plans.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19</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Larger Purchasing Power</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A statewide insurance pool representing thousands of additional covered lives commands stronger negotiating leverage with carriers and pharmacy benefit managers.</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20</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Potential Premium Savings</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Increased pool size typically produces more favorable premium structures, delivering direct cost savings to districts and their employees.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21</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Greater Plan Stability</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Larger, more diversified risk pools are less vulnerable to claims volatility and year-over-year premium spikes that destabilize smaller district plans.</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22</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Reduced Pressure for Recurring Salary Increases</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When healthcare benefits provide greater real compensation value, districts can manage salary expectations more sustainably over budget cycles.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23</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Long-Term Fiscal Stability</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Predictable, well-managed healthcare costs support sound multi-year financial planning and reduce exposure to sudden budget disruptions.</w:t>
            </w:r>
          </w:p>
        </w:tc>
      </w:tr>
      <w:tr>
        <w:tc>
          <w:tcPr>
            <w:tcW w:type="dxa" w:w="9360"/>
            <w:gridSpan w:val="3"/>
            <w:tcBorders>
              <w:top w:val="single" w:color="1B2A4A" w:sz="1"/>
              <w:left w:val="single" w:color="1B2A4A" w:sz="1"/>
              <w:bottom w:val="single" w:color="1B2A4A" w:sz="1"/>
              <w:right w:val="single" w:color="1B2A4A" w:sz="1"/>
            </w:tcBorders>
            <w:shd w:fill="D6E0EC" w:val="clear"/>
            <w:tcMar>
              <w:top w:type="dxa" w:w="80"/>
              <w:left w:type="dxa" w:w="180"/>
              <w:bottom w:type="dxa" w:w="80"/>
              <w:right w:type="dxa" w:w="180"/>
            </w:tcMar>
          </w:tcPr>
          <w:p>
            <w:r>
              <w:rPr>
                <w:rFonts w:ascii="Arial" w:cs="Arial" w:eastAsia="Arial" w:hAnsi="Arial"/>
                <w:b/>
                <w:bCs/>
                <w:color w:val="1B2A4A"/>
                <w:spacing w:val="60"/>
                <w:sz w:val="20"/>
                <w:szCs w:val="20"/>
              </w:rPr>
              <w:t xml:space="preserve">EDUCATOR &amp; FAMILY WELLBEING</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24</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Better Family Healthcare</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Access to comprehensive family coverage gives educators confidence that their dependents are protected, reducing a significant source of personal financial vulnerability.</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25</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Reduced Financial Stress</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Educators freed from healthcare cost anxiety are better positioned to invest their full professional energy in their students and their work.</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26</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Increased Compensation Value</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High-quality health benefits increase the effective total value of the educator compensation package without requiring equivalent increases in direct salary expenditure.</w:t>
            </w:r>
          </w:p>
        </w:tc>
      </w:tr>
      <w:tr>
        <w:tc>
          <w:tcPr>
            <w:tcW w:type="dxa" w:w="9360"/>
            <w:gridSpan w:val="3"/>
            <w:tcBorders>
              <w:top w:val="single" w:color="1B2A4A" w:sz="1"/>
              <w:left w:val="single" w:color="1B2A4A" w:sz="1"/>
              <w:bottom w:val="single" w:color="1B2A4A" w:sz="1"/>
              <w:right w:val="single" w:color="1B2A4A" w:sz="1"/>
            </w:tcBorders>
            <w:shd w:fill="D6E0EC" w:val="clear"/>
            <w:tcMar>
              <w:top w:type="dxa" w:w="80"/>
              <w:left w:type="dxa" w:w="180"/>
              <w:bottom w:type="dxa" w:w="80"/>
              <w:right w:type="dxa" w:w="180"/>
            </w:tcMar>
          </w:tcPr>
          <w:p>
            <w:r>
              <w:rPr>
                <w:rFonts w:ascii="Arial" w:cs="Arial" w:eastAsia="Arial" w:hAnsi="Arial"/>
                <w:b/>
                <w:bCs/>
                <w:color w:val="1B2A4A"/>
                <w:spacing w:val="60"/>
                <w:sz w:val="20"/>
                <w:szCs w:val="20"/>
              </w:rPr>
              <w:t xml:space="preserve">STUDENT &amp; COMMUNITY OUTCOMES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27</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Better Student Continuity</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When experienced teachers remain in their classrooms year over year, students benefit from consistent relationships, instructional continuity, and institutional familiarity.</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28</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Improved Classroom Stability</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Low turnover environments reduce the disruption caused by frequent mid-year vacancies, long-term substitutes, and the learning loss that accompanies teacher transitions.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29</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Improved Educational Outcomes</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Stable, experienced, well-supported teaching staffs consistently produce stronger academic achievement — the ultimate objective of every investment in educator welfare.</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30</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Improved District Competitiveness</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Districts that offer superior benefits are better positioned to attract and retain the talent necessary to sustain high-performing schools over the long term.</w:t>
            </w:r>
          </w:p>
        </w:tc>
      </w:tr>
      <w:tr>
        <w:tc>
          <w:tcPr>
            <w:tcW w:type="dxa" w:w="9360"/>
            <w:gridSpan w:val="3"/>
            <w:tcBorders>
              <w:top w:val="single" w:color="1B2A4A" w:sz="1"/>
              <w:left w:val="single" w:color="1B2A4A" w:sz="1"/>
              <w:bottom w:val="single" w:color="1B2A4A" w:sz="1"/>
              <w:right w:val="single" w:color="1B2A4A" w:sz="1"/>
            </w:tcBorders>
            <w:shd w:fill="D6E0EC" w:val="clear"/>
            <w:tcMar>
              <w:top w:type="dxa" w:w="80"/>
              <w:left w:type="dxa" w:w="180"/>
              <w:bottom w:type="dxa" w:w="80"/>
              <w:right w:type="dxa" w:w="180"/>
            </w:tcMar>
          </w:tcPr>
          <w:p>
            <w:r>
              <w:rPr>
                <w:rFonts w:ascii="Arial" w:cs="Arial" w:eastAsia="Arial" w:hAnsi="Arial"/>
                <w:b/>
                <w:bCs/>
                <w:color w:val="1B2A4A"/>
                <w:spacing w:val="60"/>
                <w:sz w:val="20"/>
                <w:szCs w:val="20"/>
              </w:rPr>
              <w:t xml:space="preserve">TEXAS-SPECIFIC POLICY ARGUMENTS</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31</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Property Tax Relief Through Efficiency</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When districts reduce healthcare expenditures through greater purchasing power, less local revenue is consumed by benefits administration — freeing more dollars for direct instruction and potentially reducing pressure on local property tax rates.</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32</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Keeping Experienced Teachers in the Classroom</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Replacing a 25-year veteran teacher with a first-year teacher may reduce salary costs in the short term, but the true cost — in mentoring time, lost institutional knowledge, and reduced instructional quality — is often far greater. Retaining experienced educators is among the highest-return investments a district can make.</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33</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Recruiting Military Spouses and Veterans</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Texas has one of the largest active-duty and veteran populations in the nation. Military families are accustomed to comprehensive healthcare coverage. Strong benefits make Texas school districts a natural fit for this highly qualified, mission-driven talent pool.</w:t>
            </w:r>
          </w:p>
        </w:tc>
      </w:tr>
      <w:tr>
        <w:tc>
          <w:tcPr>
            <w:tcW w:type="dxa" w:w="560"/>
            <w:tcBorders>
              <w:top w:val="single" w:color="D8D8D8" w:sz="1"/>
              <w:left w:val="single" w:color="D8D8D8" w:sz="1"/>
              <w:bottom w:val="single" w:color="D8D8D8" w:sz="1"/>
              <w:right w:val="single" w:color="D8D8D8" w:sz="1"/>
            </w:tcBorders>
            <w:shd w:fill="FFFFFF"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34</w:t>
            </w:r>
          </w:p>
        </w:tc>
        <w:tc>
          <w:tcPr>
            <w:tcW w:type="dxa" w:w="26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vAlign w:val="center"/>
          </w:tcPr>
          <w:p>
            <w:r>
              <w:rPr>
                <w:rFonts w:ascii="Arial" w:cs="Arial" w:eastAsia="Arial" w:hAnsi="Arial"/>
                <w:b/>
                <w:bCs/>
                <w:color w:val="1B2A4A"/>
                <w:sz w:val="20"/>
                <w:szCs w:val="20"/>
              </w:rPr>
              <w:t xml:space="preserve">Economic Development and Business Attraction</w:t>
            </w:r>
          </w:p>
        </w:tc>
        <w:tc>
          <w:tcPr>
            <w:tcW w:type="dxa" w:w="6200"/>
            <w:tcBorders>
              <w:top w:val="single" w:color="D8D8D8" w:sz="1"/>
              <w:left w:val="single" w:color="D8D8D8" w:sz="1"/>
              <w:bottom w:val="single" w:color="D8D8D8" w:sz="1"/>
              <w:right w:val="single" w:color="D8D8D8" w:sz="1"/>
            </w:tcBorders>
            <w:shd w:fill="FFFFFF" w:val="clear"/>
            <w:tcMar>
              <w:top w:type="dxa" w:w="90"/>
              <w:left w:type="dxa" w:w="160"/>
              <w:bottom w:type="dxa" w:w="90"/>
              <w:right w:type="dxa" w:w="160"/>
            </w:tcMar>
          </w:tcPr>
          <w:p>
            <w:r>
              <w:rPr>
                <w:rFonts w:ascii="Georgia" w:cs="Georgia" w:eastAsia="Georgia" w:hAnsi="Georgia"/>
                <w:color w:val="1A1A1A"/>
                <w:sz w:val="20"/>
                <w:szCs w:val="20"/>
              </w:rPr>
              <w:t xml:space="preserve">Companies evaluating Texas for relocation or expansion routinely assess local school quality as part of their decision. Stronger teacher recruitment and retention improves school performance metrics, strengthens community reputation, and supports Texas's competitive position in attracting business investment and workforce development.</w:t>
            </w:r>
          </w:p>
        </w:tc>
      </w:tr>
      <w:tr>
        <w:tc>
          <w:tcPr>
            <w:tcW w:type="dxa" w:w="560"/>
            <w:tcBorders>
              <w:top w:val="single" w:color="D8D8D8" w:sz="1"/>
              <w:left w:val="single" w:color="D8D8D8" w:sz="1"/>
              <w:bottom w:val="single" w:color="D8D8D8" w:sz="1"/>
              <w:right w:val="single" w:color="D8D8D8" w:sz="1"/>
            </w:tcBorders>
            <w:shd w:fill="EEF2F7" w:val="clear"/>
            <w:tcMar>
              <w:top w:type="dxa" w:w="90"/>
              <w:left w:type="dxa" w:w="80"/>
              <w:bottom w:type="dxa" w:w="90"/>
              <w:right w:type="dxa" w:w="80"/>
            </w:tcMar>
            <w:vAlign w:val="center"/>
          </w:tcPr>
          <w:p>
            <w:pPr>
              <w:jc w:val="center"/>
            </w:pPr>
            <w:r>
              <w:rPr>
                <w:rFonts w:ascii="Arial" w:cs="Arial" w:eastAsia="Arial" w:hAnsi="Arial"/>
                <w:b/>
                <w:bCs/>
                <w:color w:val="1B2A4A"/>
                <w:sz w:val="20"/>
                <w:szCs w:val="20"/>
              </w:rPr>
              <w:t xml:space="preserve">35</w:t>
            </w:r>
          </w:p>
        </w:tc>
        <w:tc>
          <w:tcPr>
            <w:tcW w:type="dxa" w:w="26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vAlign w:val="center"/>
          </w:tcPr>
          <w:p>
            <w:r>
              <w:rPr>
                <w:rFonts w:ascii="Arial" w:cs="Arial" w:eastAsia="Arial" w:hAnsi="Arial"/>
                <w:b/>
                <w:bCs/>
                <w:color w:val="1B2A4A"/>
                <w:sz w:val="20"/>
                <w:szCs w:val="20"/>
              </w:rPr>
              <w:t xml:space="preserve">Reducing the Benefits Gap</w:t>
            </w:r>
          </w:p>
        </w:tc>
        <w:tc>
          <w:tcPr>
            <w:tcW w:type="dxa" w:w="6200"/>
            <w:tcBorders>
              <w:top w:val="single" w:color="D8D8D8" w:sz="1"/>
              <w:left w:val="single" w:color="D8D8D8" w:sz="1"/>
              <w:bottom w:val="single" w:color="D8D8D8" w:sz="1"/>
              <w:right w:val="single" w:color="D8D8D8" w:sz="1"/>
            </w:tcBorders>
            <w:shd w:fill="EEF2F7" w:val="clear"/>
            <w:tcMar>
              <w:top w:type="dxa" w:w="90"/>
              <w:left w:type="dxa" w:w="160"/>
              <w:bottom w:type="dxa" w:w="90"/>
              <w:right w:type="dxa" w:w="160"/>
            </w:tcMar>
          </w:tcPr>
          <w:p>
            <w:r>
              <w:rPr>
                <w:rFonts w:ascii="Georgia" w:cs="Georgia" w:eastAsia="Georgia" w:hAnsi="Georgia"/>
                <w:color w:val="1A1A1A"/>
                <w:sz w:val="20"/>
                <w:szCs w:val="20"/>
              </w:rPr>
              <w:t xml:space="preserve">Many Texas educators report that out-of-pocket healthcare costs effectively reduce their take-home pay below what comparable positions offer in other sectors. Improving benefit quality functions as a compensation increase — without requiring equivalent increases in base salary expenditures, making it one of the most fiscally efficient tools available to the Legislature.</w:t>
            </w:r>
          </w:p>
        </w:tc>
      </w:tr>
    </w:tbl>
    <w:p>
      <w:pPr>
        <w:spacing w:after="10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STAKEHOLDER ANALYSIS</w:t>
      </w:r>
    </w:p>
    <w:p>
      <w:pPr>
        <w:pBdr>
          <w:bottom w:val="single" w:color="D6E0EC" w:sz="2" w:space="1"/>
        </w:pBdr>
        <w:spacing w:after="120" w:before="0"/>
      </w:pPr>
    </w:p>
    <w:p>
      <w:pPr>
        <w:spacing w:after="100" w:before="80"/>
        <w:jc w:val="both"/>
      </w:pPr>
      <w:r>
        <w:rPr>
          <w:rFonts w:ascii="Georgia" w:cs="Georgia" w:eastAsia="Georgia" w:hAnsi="Georgia"/>
          <w:b w:val="false"/>
          <w:bCs w:val="false"/>
          <w:i w:val="false"/>
          <w:iCs w:val="false"/>
          <w:color w:val="1A1A1A"/>
          <w:sz w:val="22"/>
          <w:szCs w:val="22"/>
        </w:rPr>
        <w:t xml:space="preserve">The following analysis summarizes the potential impact of this legislation on key stakeholders across the Texas public education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7200"/>
      </w:tblGrid>
      <w:tr>
        <w:trPr>
          <w:tblHeader/>
        </w:trPr>
        <w:tc>
          <w:tcPr>
            <w:tcW w:type="dxa" w:w="2160"/>
            <w:tcBorders>
              <w:top w:val="single" w:color="1B2A4A" w:sz="1"/>
              <w:left w:val="single" w:color="1B2A4A" w:sz="1"/>
              <w:bottom w:val="single" w:color="1B2A4A" w:sz="1"/>
              <w:right w:val="single" w:color="1B2A4A" w:sz="1"/>
            </w:tcBorders>
            <w:shd w:fill="1B2A4A" w:val="clear"/>
            <w:tcMar>
              <w:top w:type="dxa" w:w="110"/>
              <w:left w:type="dxa" w:w="180"/>
              <w:bottom w:type="dxa" w:w="110"/>
              <w:right w:type="dxa" w:w="180"/>
            </w:tcMar>
          </w:tcPr>
          <w:p>
            <w:r>
              <w:rPr>
                <w:rFonts w:ascii="Arial" w:cs="Arial" w:eastAsia="Arial" w:hAnsi="Arial"/>
                <w:b/>
                <w:bCs/>
                <w:color w:val="FFFFFF"/>
                <w:sz w:val="21"/>
                <w:szCs w:val="21"/>
              </w:rPr>
              <w:t xml:space="preserve">Stakeholder</w:t>
            </w:r>
          </w:p>
        </w:tc>
        <w:tc>
          <w:tcPr>
            <w:tcW w:type="dxa" w:w="7200"/>
            <w:tcBorders>
              <w:top w:val="single" w:color="1B2A4A" w:sz="1"/>
              <w:left w:val="single" w:color="1B2A4A" w:sz="1"/>
              <w:bottom w:val="single" w:color="1B2A4A" w:sz="1"/>
              <w:right w:val="single" w:color="1B2A4A" w:sz="1"/>
            </w:tcBorders>
            <w:shd w:fill="1B2A4A" w:val="clear"/>
            <w:tcMar>
              <w:top w:type="dxa" w:w="110"/>
              <w:left w:type="dxa" w:w="180"/>
              <w:bottom w:type="dxa" w:w="110"/>
              <w:right w:type="dxa" w:w="180"/>
            </w:tcMar>
          </w:tcPr>
          <w:p>
            <w:r>
              <w:rPr>
                <w:rFonts w:ascii="Arial" w:cs="Arial" w:eastAsia="Arial" w:hAnsi="Arial"/>
                <w:b/>
                <w:bCs/>
                <w:color w:val="FFFFFF"/>
                <w:sz w:val="21"/>
                <w:szCs w:val="21"/>
              </w:rPr>
              <w:t xml:space="preserve">Potential Impact</w:t>
            </w:r>
          </w:p>
        </w:tc>
      </w:tr>
      <w:tr>
        <w:tc>
          <w:tcPr>
            <w:tcW w:type="dxa" w:w="216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vAlign w:val="center"/>
          </w:tcPr>
          <w:p>
            <w:r>
              <w:rPr>
                <w:rFonts w:ascii="Arial" w:cs="Arial" w:eastAsia="Arial" w:hAnsi="Arial"/>
                <w:b/>
                <w:bCs/>
                <w:color w:val="1B2A4A"/>
                <w:sz w:val="21"/>
                <w:szCs w:val="21"/>
              </w:rPr>
              <w:t xml:space="preserve">Teachers</w:t>
            </w:r>
          </w:p>
        </w:tc>
        <w:tc>
          <w:tcPr>
            <w:tcW w:type="dxa" w:w="720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tcPr>
          <w:p>
            <w:r>
              <w:rPr>
                <w:rFonts w:ascii="Georgia" w:cs="Georgia" w:eastAsia="Georgia" w:hAnsi="Georgia"/>
                <w:color w:val="1A1A1A"/>
                <w:sz w:val="20"/>
                <w:szCs w:val="20"/>
              </w:rPr>
              <w:t xml:space="preserve">Access to more affordable, comprehensive health coverage increases the real value of total compensation, reduces out-of-pocket financial exposure, and supports long-term career retention within Texas public schools.</w:t>
            </w:r>
          </w:p>
        </w:tc>
      </w:tr>
      <w:tr>
        <w:tc>
          <w:tcPr>
            <w:tcW w:type="dxa" w:w="216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vAlign w:val="center"/>
          </w:tcPr>
          <w:p>
            <w:r>
              <w:rPr>
                <w:rFonts w:ascii="Arial" w:cs="Arial" w:eastAsia="Arial" w:hAnsi="Arial"/>
                <w:b/>
                <w:bCs/>
                <w:color w:val="1B2A4A"/>
                <w:sz w:val="21"/>
                <w:szCs w:val="21"/>
              </w:rPr>
              <w:t xml:space="preserve">School Boards</w:t>
            </w:r>
          </w:p>
        </w:tc>
        <w:tc>
          <w:tcPr>
            <w:tcW w:type="dxa" w:w="720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tcPr>
          <w:p>
            <w:r>
              <w:rPr>
                <w:rFonts w:ascii="Georgia" w:cs="Georgia" w:eastAsia="Georgia" w:hAnsi="Georgia"/>
                <w:color w:val="1A1A1A"/>
                <w:sz w:val="20"/>
                <w:szCs w:val="20"/>
              </w:rPr>
              <w:t xml:space="preserve">Voluntary participation provides elected boards with an additional policy tool to strengthen recruitment and retention without surrendering local governance authority. Boards retain full discretion over whether and when to participate.</w:t>
            </w:r>
          </w:p>
        </w:tc>
      </w:tr>
      <w:tr>
        <w:tc>
          <w:tcPr>
            <w:tcW w:type="dxa" w:w="216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vAlign w:val="center"/>
          </w:tcPr>
          <w:p>
            <w:r>
              <w:rPr>
                <w:rFonts w:ascii="Arial" w:cs="Arial" w:eastAsia="Arial" w:hAnsi="Arial"/>
                <w:b/>
                <w:bCs/>
                <w:color w:val="1B2A4A"/>
                <w:sz w:val="21"/>
                <w:szCs w:val="21"/>
              </w:rPr>
              <w:t xml:space="preserve">Taxpayers</w:t>
            </w:r>
          </w:p>
        </w:tc>
        <w:tc>
          <w:tcPr>
            <w:tcW w:type="dxa" w:w="720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tcPr>
          <w:p>
            <w:r>
              <w:rPr>
                <w:rFonts w:ascii="Georgia" w:cs="Georgia" w:eastAsia="Georgia" w:hAnsi="Georgia"/>
                <w:color w:val="1A1A1A"/>
                <w:sz w:val="20"/>
                <w:szCs w:val="20"/>
              </w:rPr>
              <w:t xml:space="preserve">Reduced teacher turnover lowers the recurring costs of recruitment, hiring, and training. Greater purchasing power within a larger insurance pool can produce premium savings. Actuarial safeguards protect against cost shifts to existing ERS participants.</w:t>
            </w:r>
          </w:p>
        </w:tc>
      </w:tr>
      <w:tr>
        <w:tc>
          <w:tcPr>
            <w:tcW w:type="dxa" w:w="216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vAlign w:val="center"/>
          </w:tcPr>
          <w:p>
            <w:r>
              <w:rPr>
                <w:rFonts w:ascii="Arial" w:cs="Arial" w:eastAsia="Arial" w:hAnsi="Arial"/>
                <w:b/>
                <w:bCs/>
                <w:color w:val="1B2A4A"/>
                <w:sz w:val="21"/>
                <w:szCs w:val="21"/>
              </w:rPr>
              <w:t xml:space="preserve">Administrators</w:t>
            </w:r>
          </w:p>
        </w:tc>
        <w:tc>
          <w:tcPr>
            <w:tcW w:type="dxa" w:w="720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tcPr>
          <w:p>
            <w:r>
              <w:rPr>
                <w:rFonts w:ascii="Georgia" w:cs="Georgia" w:eastAsia="Georgia" w:hAnsi="Georgia"/>
                <w:color w:val="1A1A1A"/>
                <w:sz w:val="20"/>
                <w:szCs w:val="20"/>
              </w:rPr>
              <w:t xml:space="preserve">Stable teaching staffs reduce the administrative burden of continuous vacancy management, onboarding, and substitute coordination, allowing campus leadership to focus on instructional quality.</w:t>
            </w:r>
          </w:p>
        </w:tc>
      </w:tr>
      <w:tr>
        <w:tc>
          <w:tcPr>
            <w:tcW w:type="dxa" w:w="216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vAlign w:val="center"/>
          </w:tcPr>
          <w:p>
            <w:r>
              <w:rPr>
                <w:rFonts w:ascii="Arial" w:cs="Arial" w:eastAsia="Arial" w:hAnsi="Arial"/>
                <w:b/>
                <w:bCs/>
                <w:color w:val="1B2A4A"/>
                <w:sz w:val="21"/>
                <w:szCs w:val="21"/>
              </w:rPr>
              <w:t xml:space="preserve">Superintendents</w:t>
            </w:r>
          </w:p>
        </w:tc>
        <w:tc>
          <w:tcPr>
            <w:tcW w:type="dxa" w:w="720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tcPr>
          <w:p>
            <w:r>
              <w:rPr>
                <w:rFonts w:ascii="Georgia" w:cs="Georgia" w:eastAsia="Georgia" w:hAnsi="Georgia"/>
                <w:color w:val="1A1A1A"/>
                <w:sz w:val="20"/>
                <w:szCs w:val="20"/>
              </w:rPr>
              <w:t xml:space="preserve">Participation in a statewide benefits program strengthens the district's competitive position in educator labor markets, supports multi-year workforce planning, and provides a predictable benefits cost structure.</w:t>
            </w:r>
          </w:p>
        </w:tc>
      </w:tr>
      <w:tr>
        <w:tc>
          <w:tcPr>
            <w:tcW w:type="dxa" w:w="216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vAlign w:val="center"/>
          </w:tcPr>
          <w:p>
            <w:r>
              <w:rPr>
                <w:rFonts w:ascii="Arial" w:cs="Arial" w:eastAsia="Arial" w:hAnsi="Arial"/>
                <w:b/>
                <w:bCs/>
                <w:color w:val="1B2A4A"/>
                <w:sz w:val="21"/>
                <w:szCs w:val="21"/>
              </w:rPr>
              <w:t xml:space="preserve">Rural Districts</w:t>
            </w:r>
          </w:p>
        </w:tc>
        <w:tc>
          <w:tcPr>
            <w:tcW w:type="dxa" w:w="720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tcPr>
          <w:p>
            <w:r>
              <w:rPr>
                <w:rFonts w:ascii="Georgia" w:cs="Georgia" w:eastAsia="Georgia" w:hAnsi="Georgia"/>
                <w:color w:val="1A1A1A"/>
                <w:sz w:val="20"/>
                <w:szCs w:val="20"/>
              </w:rPr>
              <w:t xml:space="preserve">Smaller districts historically lack the enrollment base to negotiate favorable insurance terms independently. ERS participation grants access to a large, diversified risk pool — materially improving both benefit quality and cost stability.</w:t>
            </w:r>
          </w:p>
        </w:tc>
      </w:tr>
      <w:tr>
        <w:tc>
          <w:tcPr>
            <w:tcW w:type="dxa" w:w="216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vAlign w:val="center"/>
          </w:tcPr>
          <w:p>
            <w:r>
              <w:rPr>
                <w:rFonts w:ascii="Arial" w:cs="Arial" w:eastAsia="Arial" w:hAnsi="Arial"/>
                <w:b/>
                <w:bCs/>
                <w:color w:val="1B2A4A"/>
                <w:sz w:val="21"/>
                <w:szCs w:val="21"/>
              </w:rPr>
              <w:t xml:space="preserve">Urban Districts</w:t>
            </w:r>
          </w:p>
        </w:tc>
        <w:tc>
          <w:tcPr>
            <w:tcW w:type="dxa" w:w="720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tcPr>
          <w:p>
            <w:r>
              <w:rPr>
                <w:rFonts w:ascii="Georgia" w:cs="Georgia" w:eastAsia="Georgia" w:hAnsi="Georgia"/>
                <w:color w:val="1A1A1A"/>
                <w:sz w:val="20"/>
                <w:szCs w:val="20"/>
              </w:rPr>
              <w:t xml:space="preserve">Urban districts competing against private-sector employers for talent gain a more compelling total compensation offer, particularly for mid-career professionals considering education as a second career.</w:t>
            </w:r>
          </w:p>
        </w:tc>
      </w:tr>
      <w:tr>
        <w:tc>
          <w:tcPr>
            <w:tcW w:type="dxa" w:w="216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vAlign w:val="center"/>
          </w:tcPr>
          <w:p>
            <w:r>
              <w:rPr>
                <w:rFonts w:ascii="Arial" w:cs="Arial" w:eastAsia="Arial" w:hAnsi="Arial"/>
                <w:b/>
                <w:bCs/>
                <w:color w:val="1B2A4A"/>
                <w:sz w:val="21"/>
                <w:szCs w:val="21"/>
              </w:rPr>
              <w:t xml:space="preserve">ERS</w:t>
            </w:r>
          </w:p>
        </w:tc>
        <w:tc>
          <w:tcPr>
            <w:tcW w:type="dxa" w:w="720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tcPr>
          <w:p>
            <w:r>
              <w:rPr>
                <w:rFonts w:ascii="Georgia" w:cs="Georgia" w:eastAsia="Georgia" w:hAnsi="Georgia"/>
                <w:color w:val="1A1A1A"/>
                <w:sz w:val="20"/>
                <w:szCs w:val="20"/>
              </w:rPr>
              <w:t xml:space="preserve">Expansion of the covered population increases pool size and diversifies the risk base. Actuarial review requirements and ERS administrative authority ensure that new entrants do not materially alter cost structures for existing members.</w:t>
            </w:r>
          </w:p>
        </w:tc>
      </w:tr>
      <w:tr>
        <w:tc>
          <w:tcPr>
            <w:tcW w:type="dxa" w:w="216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vAlign w:val="center"/>
          </w:tcPr>
          <w:p>
            <w:r>
              <w:rPr>
                <w:rFonts w:ascii="Arial" w:cs="Arial" w:eastAsia="Arial" w:hAnsi="Arial"/>
                <w:b/>
                <w:bCs/>
                <w:color w:val="1B2A4A"/>
                <w:sz w:val="21"/>
                <w:szCs w:val="21"/>
              </w:rPr>
              <w:t xml:space="preserve">TRS</w:t>
            </w:r>
          </w:p>
        </w:tc>
        <w:tc>
          <w:tcPr>
            <w:tcW w:type="dxa" w:w="720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tcPr>
          <w:p>
            <w:r>
              <w:rPr>
                <w:rFonts w:ascii="Georgia" w:cs="Georgia" w:eastAsia="Georgia" w:hAnsi="Georgia"/>
                <w:color w:val="1A1A1A"/>
                <w:sz w:val="20"/>
                <w:szCs w:val="20"/>
              </w:rPr>
              <w:t xml:space="preserve">The Teacher Retirement System is not directly addressed by this legislation. This Act is limited in scope to health insurance benefits. The relationship between TRS and educator health coverage represents a separate policy question that may be appropriately considered by the Legislature in a future session.</w:t>
            </w:r>
          </w:p>
        </w:tc>
      </w:tr>
      <w:tr>
        <w:tc>
          <w:tcPr>
            <w:tcW w:type="dxa" w:w="216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vAlign w:val="center"/>
          </w:tcPr>
          <w:p>
            <w:r>
              <w:rPr>
                <w:rFonts w:ascii="Arial" w:cs="Arial" w:eastAsia="Arial" w:hAnsi="Arial"/>
                <w:b/>
                <w:bCs/>
                <w:color w:val="1B2A4A"/>
                <w:sz w:val="21"/>
                <w:szCs w:val="21"/>
              </w:rPr>
              <w:t xml:space="preserve">State Budget Writers</w:t>
            </w:r>
          </w:p>
        </w:tc>
        <w:tc>
          <w:tcPr>
            <w:tcW w:type="dxa" w:w="720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tcPr>
          <w:p>
            <w:r>
              <w:rPr>
                <w:rFonts w:ascii="Georgia" w:cs="Georgia" w:eastAsia="Georgia" w:hAnsi="Georgia"/>
                <w:color w:val="1A1A1A"/>
                <w:sz w:val="20"/>
                <w:szCs w:val="20"/>
              </w:rPr>
              <w:t xml:space="preserve">The voluntary, opt-in structure limits state financial exposure. Actuarial prerequisites gate participation and prevent unanticipated cost increases. Long-term workforce stability may reduce downstream state spending on educator recruitment programs.</w:t>
            </w:r>
          </w:p>
        </w:tc>
      </w:tr>
      <w:tr>
        <w:tc>
          <w:tcPr>
            <w:tcW w:type="dxa" w:w="216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vAlign w:val="center"/>
          </w:tcPr>
          <w:p>
            <w:r>
              <w:rPr>
                <w:rFonts w:ascii="Arial" w:cs="Arial" w:eastAsia="Arial" w:hAnsi="Arial"/>
                <w:b/>
                <w:bCs/>
                <w:color w:val="1B2A4A"/>
                <w:sz w:val="21"/>
                <w:szCs w:val="21"/>
              </w:rPr>
              <w:t xml:space="preserve">Legislators</w:t>
            </w:r>
          </w:p>
        </w:tc>
        <w:tc>
          <w:tcPr>
            <w:tcW w:type="dxa" w:w="720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tcPr>
          <w:p>
            <w:r>
              <w:rPr>
                <w:rFonts w:ascii="Georgia" w:cs="Georgia" w:eastAsia="Georgia" w:hAnsi="Georgia"/>
                <w:color w:val="1A1A1A"/>
                <w:sz w:val="20"/>
                <w:szCs w:val="20"/>
              </w:rPr>
              <w:t xml:space="preserve">The Act provides members with a concrete, fiscally responsible policy response to constituent concerns about educator recruitment, retention, and compensation — without creating a new state agency or mandating district participation.</w:t>
            </w:r>
          </w:p>
        </w:tc>
      </w:tr>
      <w:tr>
        <w:tc>
          <w:tcPr>
            <w:tcW w:type="dxa" w:w="216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vAlign w:val="center"/>
          </w:tcPr>
          <w:p>
            <w:r>
              <w:rPr>
                <w:rFonts w:ascii="Arial" w:cs="Arial" w:eastAsia="Arial" w:hAnsi="Arial"/>
                <w:b/>
                <w:bCs/>
                <w:color w:val="1B2A4A"/>
                <w:sz w:val="21"/>
                <w:szCs w:val="21"/>
              </w:rPr>
              <w:t xml:space="preserve">Parents</w:t>
            </w:r>
          </w:p>
        </w:tc>
        <w:tc>
          <w:tcPr>
            <w:tcW w:type="dxa" w:w="7200"/>
            <w:tcBorders>
              <w:top w:val="single" w:color="D8D8D8" w:sz="1"/>
              <w:left w:val="single" w:color="D8D8D8" w:sz="1"/>
              <w:bottom w:val="single" w:color="D8D8D8" w:sz="1"/>
              <w:right w:val="single" w:color="D8D8D8" w:sz="1"/>
            </w:tcBorders>
            <w:shd w:fill="FFFFFF" w:val="clear"/>
            <w:tcMar>
              <w:top w:type="dxa" w:w="110"/>
              <w:left w:type="dxa" w:w="180"/>
              <w:bottom w:type="dxa" w:w="110"/>
              <w:right w:type="dxa" w:w="180"/>
            </w:tcMar>
          </w:tcPr>
          <w:p>
            <w:r>
              <w:rPr>
                <w:rFonts w:ascii="Georgia" w:cs="Georgia" w:eastAsia="Georgia" w:hAnsi="Georgia"/>
                <w:color w:val="1A1A1A"/>
                <w:sz w:val="20"/>
                <w:szCs w:val="20"/>
              </w:rPr>
              <w:t xml:space="preserve">More stable teaching staffs produce greater instructional continuity for students. Reduced mid-year vacancies and teacher turnover mean children are more likely to remain with experienced, consistent educators throughout the school year.</w:t>
            </w:r>
          </w:p>
        </w:tc>
      </w:tr>
      <w:tr>
        <w:tc>
          <w:tcPr>
            <w:tcW w:type="dxa" w:w="216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vAlign w:val="center"/>
          </w:tcPr>
          <w:p>
            <w:r>
              <w:rPr>
                <w:rFonts w:ascii="Arial" w:cs="Arial" w:eastAsia="Arial" w:hAnsi="Arial"/>
                <w:b/>
                <w:bCs/>
                <w:color w:val="1B2A4A"/>
                <w:sz w:val="21"/>
                <w:szCs w:val="21"/>
              </w:rPr>
              <w:t xml:space="preserve">Students</w:t>
            </w:r>
          </w:p>
        </w:tc>
        <w:tc>
          <w:tcPr>
            <w:tcW w:type="dxa" w:w="7200"/>
            <w:tcBorders>
              <w:top w:val="single" w:color="D8D8D8" w:sz="1"/>
              <w:left w:val="single" w:color="D8D8D8" w:sz="1"/>
              <w:bottom w:val="single" w:color="D8D8D8" w:sz="1"/>
              <w:right w:val="single" w:color="D8D8D8" w:sz="1"/>
            </w:tcBorders>
            <w:shd w:fill="EEF2F7" w:val="clear"/>
            <w:tcMar>
              <w:top w:type="dxa" w:w="110"/>
              <w:left w:type="dxa" w:w="180"/>
              <w:bottom w:type="dxa" w:w="110"/>
              <w:right w:type="dxa" w:w="180"/>
            </w:tcMar>
          </w:tcPr>
          <w:p>
            <w:r>
              <w:rPr>
                <w:rFonts w:ascii="Georgia" w:cs="Georgia" w:eastAsia="Georgia" w:hAnsi="Georgia"/>
                <w:color w:val="1A1A1A"/>
                <w:sz w:val="20"/>
                <w:szCs w:val="20"/>
              </w:rPr>
              <w:t xml:space="preserve">Experienced, financially secure educators are better positioned to invest fully in their students. Lower turnover, reduced burnout, and stronger workforce stability translate directly into improved classroom environments and educational outcomes.</w:t>
            </w:r>
          </w:p>
        </w:tc>
      </w:tr>
    </w:tbl>
    <w:p>
      <w:pPr>
        <w:spacing w:after="10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THE CORE MESSAGE</w:t>
      </w:r>
    </w:p>
    <w:p>
      <w:pPr>
        <w:pBdr>
          <w:bottom w:val="single" w:color="D6E0EC" w:sz="2" w:space="1"/>
        </w:pBd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E0EC" w:sz="1"/>
              <w:left w:val="single" w:color="B8860B" w:sz="14"/>
              <w:bottom w:val="single" w:color="D6E0EC" w:sz="1"/>
              <w:right w:val="single" w:color="D6E0EC" w:sz="1"/>
            </w:tcBorders>
            <w:shd w:fill="EEF2F7" w:val="clear"/>
            <w:tcMar>
              <w:top w:type="dxa" w:w="160"/>
              <w:left w:type="dxa" w:w="240"/>
              <w:bottom w:type="dxa" w:w="160"/>
              <w:right w:type="dxa" w:w="240"/>
            </w:tcMar>
          </w:tcPr>
          <w:p>
            <w:pPr>
              <w:spacing w:after="40" w:before="40"/>
            </w:pPr>
            <w:r>
              <w:rPr>
                <w:rFonts w:ascii="Georgia" w:cs="Georgia" w:eastAsia="Georgia" w:hAnsi="Georgia"/>
                <w:i w:val="false"/>
                <w:iCs w:val="false"/>
                <w:color w:val="1A1A1A"/>
                <w:sz w:val="22"/>
                <w:szCs w:val="22"/>
              </w:rPr>
              <w:t xml:space="preserve">This proposal is not about expanding government. It is about expanding opportunity.</w:t>
            </w:r>
          </w:p>
          <w:p>
            <w:pPr>
              <w:spacing w:after="40" w:before="40"/>
            </w:pPr>
            <w:r>
              <w:rPr>
                <w:rFonts w:ascii="Georgia" w:cs="Georgia" w:eastAsia="Georgia" w:hAnsi="Georgia"/>
                <w:i w:val="false"/>
                <w:iCs w:val="false"/>
                <w:color w:val="1A1A1A"/>
                <w:sz w:val="22"/>
                <w:szCs w:val="22"/>
              </w:rPr>
              <w:t xml:space="preserve"/>
            </w:r>
          </w:p>
          <w:p>
            <w:pPr>
              <w:spacing w:after="40" w:before="40"/>
            </w:pPr>
            <w:r>
              <w:rPr>
                <w:rFonts w:ascii="Georgia" w:cs="Georgia" w:eastAsia="Georgia" w:hAnsi="Georgia"/>
                <w:i w:val="false"/>
                <w:iCs w:val="false"/>
                <w:color w:val="1A1A1A"/>
                <w:sz w:val="22"/>
                <w:szCs w:val="22"/>
              </w:rPr>
              <w:t xml:space="preserve">It does not mandate participation. It simply allows local school districts to determine whether joining an existing statewide employee health benefits program would better serve their educators and taxpayers.</w:t>
            </w:r>
          </w:p>
        </w:tc>
      </w:tr>
    </w:tbl>
    <w:p>
      <w:pPr>
        <w:spacing w:after="10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WHY THIS BILL IS DIFFERENT</w:t>
      </w:r>
    </w:p>
    <w:p>
      <w:pPr>
        <w:pBdr>
          <w:bottom w:val="single" w:color="D6E0EC" w:sz="2" w:space="1"/>
        </w:pBdr>
        <w:spacing w:after="120" w:before="0"/>
      </w:pPr>
    </w:p>
    <w:p>
      <w:pPr>
        <w:spacing w:after="100" w:before="80"/>
        <w:jc w:val="both"/>
      </w:pPr>
      <w:r>
        <w:rPr>
          <w:rFonts w:ascii="Georgia" w:cs="Georgia" w:eastAsia="Georgia" w:hAnsi="Georgia"/>
          <w:b w:val="false"/>
          <w:bCs w:val="false"/>
          <w:i w:val="false"/>
          <w:iCs w:val="false"/>
          <w:color w:val="1A1A1A"/>
          <w:sz w:val="22"/>
          <w:szCs w:val="22"/>
        </w:rPr>
        <w:t xml:space="preserve">Most education proposals ask the Legislature to spend more money. This proposal asks the Legislature to allow school districts greater flexibility in how they spend healthcare dollars already being invested in employee benefits.</w:t>
      </w:r>
    </w:p>
    <w:p>
      <w:pPr>
        <w:spacing w:after="140" w:before="0"/>
        <w:jc w:val="both"/>
      </w:pPr>
      <w:r>
        <w:rPr>
          <w:rFonts w:ascii="Georgia" w:cs="Georgia" w:eastAsia="Georgia" w:hAnsi="Georgia"/>
          <w:b w:val="false"/>
          <w:bCs w:val="false"/>
          <w:i w:val="false"/>
          <w:iCs w:val="false"/>
          <w:color w:val="1A1A1A"/>
          <w:sz w:val="22"/>
          <w:szCs w:val="22"/>
        </w:rPr>
        <w:t xml:space="preserve">Rather than creating another state program, this proposal seeks to leverage an existing statewide health benefits infrastructure that has served state employees for decades — extending proven, established systems to the educators who need them most.</w:t>
      </w:r>
    </w:p>
    <w:p>
      <w:pPr>
        <w:pBdr>
          <w:left w:val="single" w:color="B8860B" w:sz="18" w:space="8"/>
        </w:pBdr>
        <w:spacing w:after="0" w:before="280"/>
      </w:pPr>
      <w:r>
        <w:rPr>
          <w:rFonts w:ascii="Arial" w:cs="Arial" w:eastAsia="Arial" w:hAnsi="Arial"/>
          <w:b/>
          <w:bCs/>
          <w:color w:val="1B2A4A"/>
          <w:sz w:val="26"/>
          <w:szCs w:val="26"/>
        </w:rPr>
        <w:t xml:space="preserve">THE QUESTION BEFORE THE LEGISLATURE</w:t>
      </w:r>
    </w:p>
    <w:p>
      <w:pPr>
        <w:pBdr>
          <w:bottom w:val="single" w:color="D6E0EC" w:sz="2" w:space="1"/>
        </w:pBdr>
        <w:spacing w:after="120" w:before="0"/>
      </w:pPr>
    </w:p>
    <w:p>
      <w:pPr>
        <w:spacing w:after="100" w:before="80"/>
        <w:jc w:val="both"/>
      </w:pPr>
      <w:r>
        <w:rPr>
          <w:rFonts w:ascii="Georgia" w:cs="Georgia" w:eastAsia="Georgia" w:hAnsi="Georgia"/>
          <w:b w:val="false"/>
          <w:bCs w:val="false"/>
          <w:i w:val="false"/>
          <w:iCs w:val="false"/>
          <w:color w:val="1A1A1A"/>
          <w:sz w:val="22"/>
          <w:szCs w:val="22"/>
        </w:rPr>
        <w:t xml:space="preserve">Should Texas school districts have the freedom to determine whether participation in the ERS Group Benefits Program would better serve their employees than existing healthcare options?</w:t>
      </w:r>
    </w:p>
    <w:p>
      <w:pPr>
        <w:spacing w:after="140" w:before="0"/>
        <w:jc w:val="both"/>
      </w:pPr>
      <w:r>
        <w:rPr>
          <w:rFonts w:ascii="Georgia" w:cs="Georgia" w:eastAsia="Georgia" w:hAnsi="Georgia"/>
          <w:b w:val="false"/>
          <w:bCs w:val="false"/>
          <w:i w:val="false"/>
          <w:iCs w:val="false"/>
          <w:color w:val="1A1A1A"/>
          <w:sz w:val="22"/>
          <w:szCs w:val="22"/>
        </w:rPr>
        <w:t xml:space="preserve">This proposal answers that question by empowering local decision-making while protecting existing ERS participants and Texas taxpayers. It is a measured, voluntary, fiscally sound response to one of the most persistent challenges facing Texas public education.</w:t>
      </w:r>
    </w:p>
    <w:p>
      <w:pPr>
        <w:pBdr>
          <w:left w:val="single" w:color="B8860B" w:sz="18" w:space="8"/>
        </w:pBdr>
        <w:spacing w:after="0" w:before="280"/>
      </w:pPr>
      <w:r>
        <w:rPr>
          <w:rFonts w:ascii="Arial" w:cs="Arial" w:eastAsia="Arial" w:hAnsi="Arial"/>
          <w:b/>
          <w:bCs/>
          <w:color w:val="1B2A4A"/>
          <w:sz w:val="26"/>
          <w:szCs w:val="26"/>
        </w:rPr>
        <w:t xml:space="preserve">RECOMMENDATION</w:t>
      </w:r>
    </w:p>
    <w:p>
      <w:pPr>
        <w:pBdr>
          <w:bottom w:val="single" w:color="D6E0EC" w:sz="2" w:space="1"/>
        </w:pBd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E0EC" w:sz="1"/>
              <w:left w:val="single" w:color="B8860B" w:sz="14"/>
              <w:bottom w:val="single" w:color="D6E0EC" w:sz="1"/>
              <w:right w:val="single" w:color="D6E0EC" w:sz="1"/>
            </w:tcBorders>
            <w:shd w:fill="EEF2F7" w:val="clear"/>
            <w:tcMar>
              <w:top w:type="dxa" w:w="160"/>
              <w:left w:type="dxa" w:w="240"/>
              <w:bottom w:type="dxa" w:w="160"/>
              <w:right w:type="dxa" w:w="240"/>
            </w:tcMar>
          </w:tcPr>
          <w:p>
            <w:pPr>
              <w:spacing w:after="40" w:before="40"/>
            </w:pPr>
            <w:r>
              <w:rPr>
                <w:rFonts w:ascii="Georgia" w:cs="Georgia" w:eastAsia="Georgia" w:hAnsi="Georgia"/>
                <w:i w:val="false"/>
                <w:iCs w:val="false"/>
                <w:color w:val="1A1A1A"/>
                <w:sz w:val="22"/>
                <w:szCs w:val="22"/>
              </w:rPr>
              <w:t xml:space="preserve">The Legislature should enact the Texas Educator Benefits Expansion Act and authorize voluntary participation by eligible public school employers in the Employees Retirement System of Texas Group Benefits Program under actuarially sound guidelines established by law.</w:t>
            </w:r>
          </w:p>
        </w:tc>
      </w:tr>
    </w:tbl>
    <w:p>
      <w:pPr>
        <w:spacing w:after="10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CONCLUSION</w:t>
      </w:r>
    </w:p>
    <w:p>
      <w:pPr>
        <w:pBdr>
          <w:bottom w:val="single" w:color="D6E0EC" w:sz="2" w:space="1"/>
        </w:pBdr>
        <w:spacing w:after="120" w:before="0"/>
      </w:pPr>
    </w:p>
    <w:p>
      <w:pPr>
        <w:spacing w:after="100" w:before="80"/>
        <w:jc w:val="both"/>
      </w:pPr>
      <w:r>
        <w:rPr>
          <w:rFonts w:ascii="Georgia" w:cs="Georgia" w:eastAsia="Georgia" w:hAnsi="Georgia"/>
          <w:b w:val="false"/>
          <w:bCs w:val="false"/>
          <w:i w:val="false"/>
          <w:iCs w:val="false"/>
          <w:color w:val="1A1A1A"/>
          <w:sz w:val="22"/>
          <w:szCs w:val="22"/>
        </w:rPr>
        <w:t xml:space="preserve">The Texas Educator Benefits Expansion Act is a targeted, voluntary, and fiscally responsible measure that expands options for Texas school districts without mandating any change in current practice. It honors the principle of local control while providing school boards with a new tool to compete for the talented educators that Texas students deserve.</w:t>
      </w:r>
    </w:p>
    <w:p>
      <w:pPr>
        <w:spacing w:after="160" w:before="0"/>
        <w:jc w:val="both"/>
      </w:pPr>
      <w:r>
        <w:rPr>
          <w:rFonts w:ascii="Georgia" w:cs="Georgia" w:eastAsia="Georgia" w:hAnsi="Georgia"/>
          <w:b w:val="false"/>
          <w:bCs w:val="false"/>
          <w:i w:val="false"/>
          <w:iCs w:val="false"/>
          <w:color w:val="1A1A1A"/>
          <w:sz w:val="22"/>
          <w:szCs w:val="22"/>
        </w:rPr>
        <w:t xml:space="preserve">By strengthening the connection between quality healthcare and the teaching profession, this legislation supports a more stable, experienced, and dedicated educator workforce — and, in doing so, advances the long-term educational success of the State of Texas.</w:t>
      </w:r>
    </w:p>
    <w:p>
      <w:pPr>
        <w:spacing w:after="80" w:before="0"/>
      </w:pPr>
      <w:r>
        <w:t xml:space="preserve"/>
      </w:r>
    </w:p>
    <w:p>
      <w:pPr>
        <w:pBdr>
          <w:top w:val="single" w:color="B8860B" w:sz="4" w:space="2"/>
        </w:pBdr>
        <w:spacing w:after="0" w:before="0"/>
        <w:jc w:val="center"/>
      </w:pPr>
      <w:r>
        <w:rPr>
          <w:rFonts w:ascii="Arial" w:cs="Arial" w:eastAsia="Arial" w:hAnsi="Arial"/>
          <w:sz w:val="22"/>
          <w:szCs w:val="22"/>
        </w:rPr>
        <w:t xml:space="preserve"/>
      </w:r>
    </w:p>
    <w:p>
      <w:pPr>
        <w:spacing w:after="40" w:before="0"/>
      </w:pPr>
      <w:r>
        <w:t xml:space="preserve"/>
      </w:r>
    </w:p>
    <w:p>
      <w:pPr>
        <w:spacing w:after="40" w:before="0"/>
        <w:jc w:val="center"/>
      </w:pPr>
      <w:r>
        <w:rPr>
          <w:rFonts w:ascii="Arial" w:cs="Arial" w:eastAsia="Arial" w:hAnsi="Arial"/>
          <w:i/>
          <w:iCs/>
          <w:color w:val="444444"/>
          <w:sz w:val="20"/>
          <w:szCs w:val="20"/>
        </w:rPr>
        <w:t xml:space="preserve">90th Texas Legislature  |  2027</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860B" w:sz="4" w:space="4"/>
      </w:pBdr>
      <w:tabs>
        <w:tab w:val="right" w:pos="9360"/>
      </w:tabs>
      <w:spacing w:after="20" w:before="80"/>
    </w:pPr>
    <w:r>
      <w:rPr>
        <w:rFonts w:ascii="Arial" w:cs="Arial" w:eastAsia="Arial" w:hAnsi="Arial"/>
        <w:i/>
        <w:iCs/>
        <w:color w:val="444444"/>
        <w:sz w:val="16"/>
        <w:szCs w:val="16"/>
      </w:rPr>
      <w:t xml:space="preserve">CONFIDENTIAL — FOR LEGISLATIVE USE</w:t>
    </w:r>
    <w:r>
      <w:rPr>
        <w:rFonts w:ascii="Arial" w:cs="Arial" w:eastAsia="Arial" w:hAnsi="Arial"/>
        <w:sz w:val="16"/>
        <w:szCs w:val="16"/>
      </w:rPr>
      <w:t xml:space="preserve">	</w:t>
    </w:r>
    <w:r>
      <w:rPr>
        <w:rFonts w:ascii="Arial" w:cs="Arial" w:eastAsia="Arial" w:hAnsi="Arial"/>
        <w:color w:val="444444"/>
        <w:sz w:val="16"/>
        <w:szCs w:val="16"/>
      </w:rPr>
      <w:t xml:space="preserve">Page </w:t>
    </w:r>
    <w:fldSimple w:instr="PAGE"/>
  </w:p>
  <w:p>
    <w:pPr>
      <w:spacing w:after="0" w:before="0"/>
    </w:pPr>
    <w:r>
      <w:rPr>
        <w:rFonts w:ascii="Arial" w:cs="Arial" w:eastAsia="Arial" w:hAnsi="Arial"/>
        <w:i/>
        <w:iCs/>
        <w:color w:val="444444"/>
        <w:sz w:val="14"/>
        <w:szCs w:val="14"/>
      </w:rPr>
      <w:t xml:space="preserve">Version: June 29, 2026  04:50 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60B" w:sz="4" w:space="4"/>
      </w:pBdr>
      <w:spacing w:after="120" w:before="0"/>
      <w:jc w:val="right"/>
    </w:pPr>
    <w:r>
      <w:rPr>
        <w:rFonts w:ascii="Arial" w:cs="Arial" w:eastAsia="Arial" w:hAnsi="Arial"/>
        <w:color w:val="444444"/>
        <w:sz w:val="18"/>
        <w:szCs w:val="18"/>
      </w:rPr>
      <w:t xml:space="preserve">Texas Educator Benefits Expansion Act  |  Legislative Proposal  |  90th Legislature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2e7e0eb213b3b7a0eb211f5086bff8ec7193fa7.jp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Educator Benefits Expansion Act</dc:title>
  <dc:subject>Legislative Proposal — 90th Texas Legislature</dc:subject>
  <dc:creator>Legislative Affairs</dc:creator>
  <cp:lastModifiedBy>Un-named</cp:lastModifiedBy>
  <cp:revision>1</cp:revision>
  <dcterms:created xsi:type="dcterms:W3CDTF">2026-06-29T04:50:51.306Z</dcterms:created>
  <dcterms:modified xsi:type="dcterms:W3CDTF">2026-06-29T04:50:51.306Z</dcterms:modified>
</cp:coreProperties>
</file>

<file path=docProps/custom.xml><?xml version="1.0" encoding="utf-8"?>
<Properties xmlns="http://schemas.openxmlformats.org/officeDocument/2006/custom-properties" xmlns:vt="http://schemas.openxmlformats.org/officeDocument/2006/docPropsVTypes"/>
</file>