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before="0"/>
      </w:pPr>
      <w:r>
        <w:t xml:space="preserve"/>
      </w:r>
    </w:p>
    <w:p>
      <w:pPr>
        <w:spacing w:after="40" w:before="0"/>
        <w:jc w:val="center"/>
      </w:pPr>
      <w:r>
        <w:rPr>
          <w:rFonts w:ascii="Arial" w:cs="Arial" w:eastAsia="Arial" w:hAnsi="Arial"/>
          <w:b/>
          <w:bCs/>
          <w:color w:val="B8860B"/>
          <w:spacing w:val="150"/>
          <w:sz w:val="20"/>
          <w:szCs w:val="20"/>
        </w:rPr>
        <w:t xml:space="preserve">STATE OF TEXAS</w:t>
      </w:r>
    </w:p>
    <w:p>
      <w:pPr>
        <w:pBdr>
          <w:bottom w:val="single" w:color="B8860B" w:sz="4" w:space="2"/>
        </w:pBdr>
        <w:spacing w:after="0" w:before="0"/>
        <w:jc w:val="center"/>
      </w:pPr>
    </w:p>
    <w:p>
      <w:pPr>
        <w:spacing w:after="50" w:before="0"/>
      </w:pPr>
      <w:r>
        <w:t xml:space="preserve"/>
      </w:r>
    </w:p>
    <w:p>
      <w:pPr>
        <w:spacing w:after="40" w:before="0"/>
        <w:jc w:val="center"/>
      </w:pPr>
      <w:r>
        <w:rPr>
          <w:rFonts w:ascii="Arial" w:cs="Arial" w:eastAsia="Arial" w:hAnsi="Arial"/>
          <w:b/>
          <w:bCs/>
          <w:color w:val="1B2A4A"/>
          <w:sz w:val="48"/>
          <w:szCs w:val="48"/>
        </w:rPr>
        <w:t xml:space="preserve">TEXAS ACTIVE TEACHER</w:t>
      </w:r>
    </w:p>
    <w:p>
      <w:pPr>
        <w:spacing w:after="40" w:before="0"/>
        <w:jc w:val="center"/>
      </w:pPr>
      <w:r>
        <w:rPr>
          <w:rFonts w:ascii="Arial" w:cs="Arial" w:eastAsia="Arial" w:hAnsi="Arial"/>
          <w:b/>
          <w:bCs/>
          <w:color w:val="1B2A4A"/>
          <w:sz w:val="48"/>
          <w:szCs w:val="48"/>
        </w:rPr>
        <w:t xml:space="preserve">HEALTH BENEFITS DOSSIER</w:t>
      </w:r>
    </w:p>
    <w:p>
      <w:pPr>
        <w:spacing w:after="40" w:before="0"/>
      </w:pPr>
      <w:r>
        <w:t xml:space="preserve"/>
      </w:r>
    </w:p>
    <w:p>
      <w:pPr>
        <w:spacing w:after="60" w:before="0"/>
        <w:jc w:val="center"/>
      </w:pPr>
      <w:r>
        <w:rPr>
          <w:rFonts w:ascii="Georgia" w:cs="Georgia" w:eastAsia="Georgia" w:hAnsi="Georgia"/>
          <w:i/>
          <w:iCs/>
          <w:color w:val="444444"/>
          <w:sz w:val="26"/>
          <w:szCs w:val="26"/>
        </w:rPr>
        <w:t xml:space="preserve">Supporting Research for the Texas Educator Benefits Expansion Act</w:t>
      </w:r>
    </w:p>
    <w:p>
      <w:pPr>
        <w:spacing w:after="40" w:before="0"/>
        <w:jc w:val="center"/>
      </w:pPr>
      <w:r>
        <w:rPr>
          <w:rFonts w:ascii="Arial" w:cs="Arial" w:eastAsia="Arial" w:hAnsi="Arial"/>
          <w:color w:val="444444"/>
          <w:spacing w:val="60"/>
          <w:sz w:val="22"/>
          <w:szCs w:val="22"/>
        </w:rPr>
        <w:t xml:space="preserve">90th Texas Legislature  •  2027</w:t>
      </w:r>
    </w:p>
    <w:p>
      <w:pPr>
        <w:spacing w:after="40" w:before="0"/>
      </w:pPr>
      <w:r>
        <w:t xml:space="preserve"/>
      </w:r>
    </w:p>
    <w:p>
      <w:pPr>
        <w:pBdr>
          <w:top w:val="single" w:color="B8860B" w:sz="4" w:space="2"/>
        </w:pBdr>
        <w:spacing w:after="0" w:before="0"/>
        <w:jc w:val="center"/>
      </w:pP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6E0EC" w:sz="1"/>
              <w:left w:val="single" w:color="B8860B" w:sz="14"/>
              <w:bottom w:val="single" w:color="D6E0EC" w:sz="1"/>
              <w:right w:val="single" w:color="D6E0EC" w:sz="1"/>
            </w:tcBorders>
            <w:shd w:fill="EEF2F7" w:val="clear"/>
            <w:tcMar>
              <w:top w:type="dxa" w:w="160"/>
              <w:left w:type="dxa" w:w="240"/>
              <w:bottom w:type="dxa" w:w="160"/>
              <w:right w:type="dxa" w:w="240"/>
            </w:tcMar>
          </w:tcPr>
          <w:p>
            <w:pPr>
              <w:spacing w:after="40" w:before="40"/>
            </w:pPr>
            <w:r>
              <w:rPr>
                <w:rFonts w:ascii="Georgia" w:cs="Georgia" w:eastAsia="Georgia" w:hAnsi="Georgia"/>
                <w:i w:val="false"/>
                <w:iCs w:val="false"/>
                <w:color w:val="1A1A1A"/>
                <w:sz w:val="22"/>
                <w:szCs w:val="22"/>
              </w:rPr>
              <w:t xml:space="preserve">TRS-ActiveCare  •  50-State Context  •  Premium Trends</w:t>
            </w:r>
          </w:p>
          <w:p>
            <w:pPr>
              <w:spacing w:after="40" w:before="40"/>
            </w:pPr>
            <w:r>
              <w:rPr>
                <w:rFonts w:ascii="Georgia" w:cs="Georgia" w:eastAsia="Georgia" w:hAnsi="Georgia"/>
                <w:i w:val="false"/>
                <w:iCs w:val="false"/>
                <w:color w:val="1A1A1A"/>
                <w:sz w:val="22"/>
                <w:szCs w:val="22"/>
              </w:rPr>
              <w:t xml:space="preserve">Salary Burden  •  Legislative Timeline  •  Sources</w:t>
            </w:r>
          </w:p>
        </w:tc>
      </w:tr>
    </w:tbl>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6"/>
              <w:left w:val="single" w:color="CCCCCC" w:sz="6"/>
              <w:bottom w:val="single" w:color="888888" w:sz="18"/>
              <w:right w:val="single" w:color="888888" w:sz="18"/>
            </w:tcBorders>
            <w:shd w:fill="FFFFFF" w:val="clear"/>
            <w:tcMar>
              <w:top w:type="dxa" w:w="60"/>
              <w:left w:type="dxa" w:w="60"/>
              <w:bottom w:type="dxa" w:w="60"/>
              <w:right w:type="dxa" w:w="60"/>
            </w:tcMar>
          </w:tcPr>
          <w:p>
            <w:pPr>
              <w:spacing w:after="0" w:before="0"/>
              <w:jc w:val="center"/>
            </w:pPr>
            <w:r>
              <w:drawing>
                <wp:inline distT="0" distB="0" distL="0" distR="0">
                  <wp:extent cx="5829300" cy="3886200"/>
                  <wp:effectExtent t="0" r="0" b="0" l="0"/>
                  <wp:docPr id="1" name="teacher" descr="Teacher with students" title="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829300" cy="3886200"/>
                          </a:xfrm>
                          <a:prstGeom prst="rect">
                            <a:avLst/>
                          </a:prstGeom>
                        </pic:spPr>
                      </pic:pic>
                    </a:graphicData>
                  </a:graphic>
                </wp:inline>
              </w:drawing>
            </w:r>
          </w:p>
        </w:tc>
      </w:tr>
    </w:tbl>
    <w:p>
      <w:pPr>
        <w:spacing w:after="120" w:before="0"/>
      </w:pPr>
      <w:r>
        <w:t xml:space="preserve"/>
      </w:r>
    </w:p>
    <w:p>
      <w:r>
        <w:br w:type="page"/>
      </w:r>
    </w:p>
    <w:p>
      <w:pPr>
        <w:sectPr>
          <w:pgSz w:w="12240" w:h="15840" w:orient="portrait"/>
          <w:pgMar w:top="1080" w:right="1440" w:bottom="1080" w:left="1440" w:header="708" w:footer="708" w:gutter="0"/>
          <w:pgNumType/>
          <w:docGrid w:linePitch="360"/>
        </w:sectPr>
      </w:pPr>
    </w:p>
    <w:p>
      <w:pPr>
        <w:spacing w:after="0" w:before="0"/>
      </w:pPr>
      <w:r>
        <w:rPr>
          <w:rFonts w:ascii="Arial" w:cs="Arial" w:eastAsia="Arial" w:hAnsi="Arial"/>
          <w:b/>
          <w:bCs/>
          <w:color w:val="1B2A4A"/>
          <w:spacing w:val="120"/>
          <w:sz w:val="30"/>
          <w:szCs w:val="30"/>
        </w:rPr>
        <w:t xml:space="preserve">TABLE OF CONTENTS</w:t>
      </w:r>
    </w:p>
    <w:p>
      <w:pPr>
        <w:pBdr>
          <w:bottom w:val="single" w:color="B8860B" w:sz="6" w:space="1"/>
        </w:pBdr>
        <w:spacing w:after="200" w:before="40"/>
      </w:pPr>
    </w:p>
    <w:p>
      <w:pPr>
        <w:tabs>
          <w:tab w:val="right" w:pos="9360"/>
        </w:tabs>
        <w:spacing w:after="60" w:before="60"/>
      </w:pPr>
      <w:r>
        <w:rPr>
          <w:rFonts w:ascii="Arial" w:cs="Arial" w:eastAsia="Arial" w:hAnsi="Arial"/>
          <w:b/>
          <w:bCs/>
          <w:color w:val="1B2A4A"/>
          <w:sz w:val="21"/>
          <w:szCs w:val="21"/>
        </w:rPr>
        <w:t xml:space="preserve">Executive Summary</w:t>
      </w:r>
      <w:r>
        <w:rPr>
          <w:rFonts w:ascii="Arial" w:cs="Arial" w:eastAsia="Arial" w:hAnsi="Arial"/>
          <w:color w:val="444444"/>
          <w:sz w:val="20"/>
          <w:szCs w:val="20"/>
        </w:rPr>
        <w:t xml:space="preserve">	3</w:t>
      </w:r>
    </w:p>
    <w:p>
      <w:pPr>
        <w:tabs>
          <w:tab w:val="right" w:pos="9360"/>
        </w:tabs>
        <w:spacing w:after="60" w:before="60"/>
      </w:pPr>
      <w:r>
        <w:rPr>
          <w:rFonts w:ascii="Arial" w:cs="Arial" w:eastAsia="Arial" w:hAnsi="Arial"/>
          <w:b/>
          <w:bCs/>
          <w:color w:val="1B2A4A"/>
          <w:sz w:val="21"/>
          <w:szCs w:val="21"/>
        </w:rPr>
        <w:t xml:space="preserve">Methodology and Limits</w:t>
      </w:r>
      <w:r>
        <w:rPr>
          <w:rFonts w:ascii="Arial" w:cs="Arial" w:eastAsia="Arial" w:hAnsi="Arial"/>
          <w:color w:val="444444"/>
          <w:sz w:val="20"/>
          <w:szCs w:val="20"/>
        </w:rPr>
        <w:t xml:space="preserve">	3</w:t>
      </w:r>
    </w:p>
    <w:p>
      <w:pPr>
        <w:tabs>
          <w:tab w:val="right" w:pos="9360"/>
        </w:tabs>
        <w:spacing w:after="60" w:before="60"/>
      </w:pPr>
      <w:r>
        <w:rPr>
          <w:rFonts w:ascii="Arial" w:cs="Arial" w:eastAsia="Arial" w:hAnsi="Arial"/>
          <w:b/>
          <w:bCs/>
          <w:color w:val="1B2A4A"/>
          <w:sz w:val="21"/>
          <w:szCs w:val="21"/>
        </w:rPr>
        <w:t xml:space="preserve">How TRS-ActiveCare Works</w:t>
      </w:r>
      <w:r>
        <w:rPr>
          <w:rFonts w:ascii="Arial" w:cs="Arial" w:eastAsia="Arial" w:hAnsi="Arial"/>
          <w:color w:val="444444"/>
          <w:sz w:val="20"/>
          <w:szCs w:val="20"/>
        </w:rPr>
        <w:t xml:space="preserve">	3</w:t>
      </w:r>
    </w:p>
    <w:p>
      <w:pPr>
        <w:tabs>
          <w:tab w:val="right" w:pos="9360"/>
        </w:tabs>
        <w:spacing w:after="60" w:before="60"/>
      </w:pPr>
      <w:r>
        <w:rPr>
          <w:rFonts w:ascii="Arial" w:cs="Arial" w:eastAsia="Arial" w:hAnsi="Arial"/>
          <w:b/>
          <w:bCs/>
          <w:color w:val="1B2A4A"/>
          <w:sz w:val="21"/>
          <w:szCs w:val="21"/>
        </w:rPr>
        <w:t xml:space="preserve">Current North Texas (Region 10) Premium Structure</w:t>
      </w:r>
      <w:r>
        <w:rPr>
          <w:rFonts w:ascii="Arial" w:cs="Arial" w:eastAsia="Arial" w:hAnsi="Arial"/>
          <w:color w:val="444444"/>
          <w:sz w:val="20"/>
          <w:szCs w:val="20"/>
        </w:rPr>
        <w:t xml:space="preserve">	4</w:t>
      </w:r>
    </w:p>
    <w:p>
      <w:pPr>
        <w:tabs>
          <w:tab w:val="right" w:pos="9360"/>
        </w:tabs>
        <w:spacing w:after="60" w:before="60"/>
      </w:pPr>
      <w:r>
        <w:rPr>
          <w:rFonts w:ascii="Arial" w:cs="Arial" w:eastAsia="Arial" w:hAnsi="Arial"/>
          <w:b/>
          <w:bCs/>
          <w:color w:val="1B2A4A"/>
          <w:sz w:val="21"/>
          <w:szCs w:val="21"/>
        </w:rPr>
        <w:t xml:space="preserve">50-State Contextual Comparison</w:t>
      </w:r>
      <w:r>
        <w:rPr>
          <w:rFonts w:ascii="Arial" w:cs="Arial" w:eastAsia="Arial" w:hAnsi="Arial"/>
          <w:color w:val="444444"/>
          <w:sz w:val="20"/>
          <w:szCs w:val="20"/>
        </w:rPr>
        <w:t xml:space="preserve">	4</w:t>
      </w:r>
    </w:p>
    <w:p>
      <w:pPr>
        <w:tabs>
          <w:tab w:val="right" w:pos="9360"/>
        </w:tabs>
        <w:spacing w:after="60" w:before="60"/>
      </w:pPr>
      <w:r>
        <w:rPr>
          <w:rFonts w:ascii="Arial" w:cs="Arial" w:eastAsia="Arial" w:hAnsi="Arial"/>
          <w:b/>
          <w:bCs/>
          <w:color w:val="1B2A4A"/>
          <w:sz w:val="21"/>
          <w:szCs w:val="21"/>
        </w:rPr>
        <w:t xml:space="preserve">TRS-ActiveCare Premium History and Funding Pressure</w:t>
      </w:r>
      <w:r>
        <w:rPr>
          <w:rFonts w:ascii="Arial" w:cs="Arial" w:eastAsia="Arial" w:hAnsi="Arial"/>
          <w:color w:val="444444"/>
          <w:sz w:val="20"/>
          <w:szCs w:val="20"/>
        </w:rPr>
        <w:t xml:space="preserve">	6</w:t>
      </w:r>
    </w:p>
    <w:p>
      <w:pPr>
        <w:tabs>
          <w:tab w:val="right" w:pos="9360"/>
        </w:tabs>
        <w:spacing w:after="60" w:before="60"/>
      </w:pPr>
      <w:r>
        <w:rPr>
          <w:rFonts w:ascii="Arial" w:cs="Arial" w:eastAsia="Arial" w:hAnsi="Arial"/>
          <w:b/>
          <w:bCs/>
          <w:color w:val="1B2A4A"/>
          <w:sz w:val="21"/>
          <w:szCs w:val="21"/>
        </w:rPr>
        <w:t xml:space="preserve">Teacher Premium Cost vs. Salary Analysis</w:t>
      </w:r>
      <w:r>
        <w:rPr>
          <w:rFonts w:ascii="Arial" w:cs="Arial" w:eastAsia="Arial" w:hAnsi="Arial"/>
          <w:color w:val="444444"/>
          <w:sz w:val="20"/>
          <w:szCs w:val="20"/>
        </w:rPr>
        <w:t xml:space="preserve">	7</w:t>
      </w:r>
    </w:p>
    <w:p>
      <w:pPr>
        <w:tabs>
          <w:tab w:val="right" w:pos="9360"/>
        </w:tabs>
        <w:spacing w:after="60" w:before="60"/>
      </w:pPr>
      <w:r>
        <w:rPr>
          <w:rFonts w:ascii="Arial" w:cs="Arial" w:eastAsia="Arial" w:hAnsi="Arial"/>
          <w:b/>
          <w:bCs/>
          <w:color w:val="1B2A4A"/>
          <w:sz w:val="21"/>
          <w:szCs w:val="21"/>
        </w:rPr>
        <w:t xml:space="preserve">Texas Legislative and Policy Timeline</w:t>
      </w:r>
      <w:r>
        <w:rPr>
          <w:rFonts w:ascii="Arial" w:cs="Arial" w:eastAsia="Arial" w:hAnsi="Arial"/>
          <w:color w:val="444444"/>
          <w:sz w:val="20"/>
          <w:szCs w:val="20"/>
        </w:rPr>
        <w:t xml:space="preserve">	8</w:t>
      </w:r>
    </w:p>
    <w:p>
      <w:pPr>
        <w:tabs>
          <w:tab w:val="right" w:pos="9360"/>
        </w:tabs>
        <w:spacing w:after="60" w:before="60"/>
      </w:pPr>
      <w:r>
        <w:rPr>
          <w:rFonts w:ascii="Arial" w:cs="Arial" w:eastAsia="Arial" w:hAnsi="Arial"/>
          <w:b/>
          <w:bCs/>
          <w:color w:val="1B2A4A"/>
          <w:sz w:val="21"/>
          <w:szCs w:val="21"/>
        </w:rPr>
        <w:t xml:space="preserve">Bottom-Line Takeaways</w:t>
      </w:r>
      <w:r>
        <w:rPr>
          <w:rFonts w:ascii="Arial" w:cs="Arial" w:eastAsia="Arial" w:hAnsi="Arial"/>
          <w:color w:val="444444"/>
          <w:sz w:val="20"/>
          <w:szCs w:val="20"/>
        </w:rPr>
        <w:t xml:space="preserve">	9</w:t>
      </w:r>
    </w:p>
    <w:p>
      <w:pPr>
        <w:tabs>
          <w:tab w:val="right" w:pos="9360"/>
        </w:tabs>
        <w:spacing w:after="60" w:before="60"/>
      </w:pPr>
      <w:r>
        <w:rPr>
          <w:rFonts w:ascii="Arial" w:cs="Arial" w:eastAsia="Arial" w:hAnsi="Arial"/>
          <w:b/>
          <w:bCs/>
          <w:color w:val="1B2A4A"/>
          <w:sz w:val="21"/>
          <w:szCs w:val="21"/>
        </w:rPr>
        <w:t xml:space="preserve">Connection to the Texas Educator Benefits Expansion Act</w:t>
      </w:r>
      <w:r>
        <w:rPr>
          <w:rFonts w:ascii="Arial" w:cs="Arial" w:eastAsia="Arial" w:hAnsi="Arial"/>
          <w:color w:val="444444"/>
          <w:sz w:val="20"/>
          <w:szCs w:val="20"/>
        </w:rPr>
        <w:t xml:space="preserve">	9</w:t>
      </w:r>
    </w:p>
    <w:p>
      <w:pPr>
        <w:tabs>
          <w:tab w:val="right" w:pos="9360"/>
        </w:tabs>
        <w:spacing w:after="60" w:before="60"/>
      </w:pPr>
      <w:r>
        <w:rPr>
          <w:rFonts w:ascii="Arial" w:cs="Arial" w:eastAsia="Arial" w:hAnsi="Arial"/>
          <w:b/>
          <w:bCs/>
          <w:color w:val="1B2A4A"/>
          <w:sz w:val="21"/>
          <w:szCs w:val="21"/>
        </w:rPr>
        <w:t xml:space="preserve">Sources Index</w:t>
      </w:r>
      <w:r>
        <w:rPr>
          <w:rFonts w:ascii="Arial" w:cs="Arial" w:eastAsia="Arial" w:hAnsi="Arial"/>
          <w:color w:val="444444"/>
          <w:sz w:val="20"/>
          <w:szCs w:val="20"/>
        </w:rPr>
        <w:t xml:space="preserve">	10</w:t>
      </w:r>
    </w:p>
    <w:p>
      <w:pPr>
        <w:tabs>
          <w:tab w:val="right" w:pos="9360"/>
        </w:tabs>
        <w:spacing w:after="60" w:before="60"/>
      </w:pPr>
      <w:r>
        <w:rPr>
          <w:rFonts w:ascii="Arial" w:cs="Arial" w:eastAsia="Arial" w:hAnsi="Arial"/>
          <w:b/>
          <w:bCs/>
          <w:color w:val="1B2A4A"/>
          <w:sz w:val="21"/>
          <w:szCs w:val="21"/>
        </w:rPr>
        <w:t xml:space="preserve">Bibliography</w:t>
      </w:r>
      <w:r>
        <w:rPr>
          <w:rFonts w:ascii="Arial" w:cs="Arial" w:eastAsia="Arial" w:hAnsi="Arial"/>
          <w:color w:val="444444"/>
          <w:sz w:val="20"/>
          <w:szCs w:val="20"/>
        </w:rPr>
        <w:t xml:space="preserve">	11</w:t>
      </w:r>
    </w:p>
    <w:p>
      <w:pPr>
        <w:spacing w:after="80" w:before="0"/>
      </w:pPr>
      <w:r>
        <w:t xml:space="preserve"/>
      </w:r>
    </w:p>
    <w:p>
      <w:r>
        <w:br w:type="page"/>
      </w:r>
    </w:p>
    <w:p>
      <w:pPr>
        <w:pBdr>
          <w:left w:val="single" w:color="B8860B" w:sz="18" w:space="8"/>
        </w:pBdr>
        <w:spacing w:after="0" w:before="280"/>
      </w:pPr>
      <w:r>
        <w:rPr>
          <w:rFonts w:ascii="Arial" w:cs="Arial" w:eastAsia="Arial" w:hAnsi="Arial"/>
          <w:b/>
          <w:bCs/>
          <w:color w:val="1B2A4A"/>
          <w:sz w:val="26"/>
          <w:szCs w:val="26"/>
        </w:rPr>
        <w:t xml:space="preserve">EXECUTIVE SUMMARY</w:t>
      </w:r>
    </w:p>
    <w:p>
      <w:pPr>
        <w:pBdr>
          <w:bottom w:val="single" w:color="D6E0EC" w:sz="2" w:space="1"/>
        </w:pBdr>
        <w:spacing w:after="120" w:before="0"/>
      </w:pPr>
    </w:p>
    <w:p>
      <w:pPr>
        <w:spacing w:after="100" w:before="80"/>
        <w:ind/>
        <w:jc w:val="both"/>
      </w:pPr>
      <w:r>
        <w:rPr>
          <w:rFonts w:ascii="Georgia" w:cs="Georgia" w:eastAsia="Georgia" w:hAnsi="Georgia"/>
          <w:b w:val="false"/>
          <w:bCs w:val="false"/>
          <w:i w:val="false"/>
          <w:iCs w:val="false"/>
          <w:color w:val="1A1A1A"/>
          <w:sz w:val="22"/>
          <w:szCs w:val="22"/>
        </w:rPr>
        <w:t xml:space="preserve">TRS-ActiveCare remains the central health program for many active Texas public-school employees. However, the statutory state contribution of $75 per month and the minimum district contribution of $150 per month have not kept pace with medical inflation. This funding gap is widening each year and placing an increasing burden on Texas educators.</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C0C0" w:sz="1"/>
              <w:left w:val="single" w:color="8B0000" w:sz="18"/>
              <w:bottom w:val="single" w:color="C0C0C0" w:sz="1"/>
              <w:right w:val="single" w:color="C0C0C0" w:sz="1"/>
            </w:tcBorders>
            <w:shd w:fill="FFF5F5" w:val="clear"/>
            <w:tcMar>
              <w:top w:type="dxa" w:w="140"/>
              <w:left w:type="dxa" w:w="240"/>
              <w:bottom w:type="dxa" w:w="140"/>
              <w:right w:type="dxa" w:w="240"/>
            </w:tcMar>
          </w:tcPr>
          <w:p>
            <w:pPr>
              <w:spacing w:after="40" w:before="40"/>
            </w:pPr>
            <w:r>
              <w:rPr>
                <w:rFonts w:ascii="Georgia" w:cs="Georgia" w:eastAsia="Georgia" w:hAnsi="Georgia"/>
                <w:b/>
                <w:bCs/>
                <w:color w:val="1A1A1A"/>
                <w:sz w:val="22"/>
                <w:szCs w:val="22"/>
              </w:rPr>
              <w:t xml:space="preserve">Key Finding: For active teachers in North Texas (Region 10), total employee-only premiums in the lowest-cost plan rose from $410 in 2022-23 to $556 in 2025-26 — a 35% increase in just three years. Family tier premiums rose from $1,384 to $1,891 over the same period.</w:t>
            </w:r>
          </w:p>
        </w:tc>
      </w:tr>
    </w:tbl>
    <w:p>
      <w:pPr>
        <w:spacing w:after="80" w:before="0"/>
      </w:pPr>
      <w:r>
        <w:t xml:space="preserve"/>
      </w:r>
    </w:p>
    <w:p>
      <w:pPr>
        <w:spacing w:after="100" w:before="80"/>
        <w:ind/>
        <w:jc w:val="both"/>
      </w:pPr>
      <w:r>
        <w:rPr>
          <w:rFonts w:ascii="Georgia" w:cs="Georgia" w:eastAsia="Georgia" w:hAnsi="Georgia"/>
          <w:b w:val="false"/>
          <w:bCs w:val="false"/>
          <w:i w:val="false"/>
          <w:iCs w:val="false"/>
          <w:color w:val="1A1A1A"/>
          <w:sz w:val="22"/>
          <w:szCs w:val="22"/>
        </w:rPr>
        <w:t xml:space="preserve">Texas' 2024-25 average classroom teacher salary of $63,749 falls below the national average of $74,177. In the Commonwealth Fund's 2025 health-system scorecard, Texas ranked last overall and last in access and affordability — the worst combined environment for teacher healthcare affordability among all 50 states.</w:t>
      </w:r>
    </w:p>
    <w:p>
      <w:pPr>
        <w:spacing w:after="140" w:before="0"/>
        <w:ind/>
        <w:jc w:val="both"/>
      </w:pPr>
      <w:r>
        <w:rPr>
          <w:rFonts w:ascii="Georgia" w:cs="Georgia" w:eastAsia="Georgia" w:hAnsi="Georgia"/>
          <w:b w:val="false"/>
          <w:bCs w:val="false"/>
          <w:i w:val="false"/>
          <w:iCs w:val="false"/>
          <w:color w:val="1A1A1A"/>
          <w:sz w:val="22"/>
          <w:szCs w:val="22"/>
        </w:rPr>
        <w:t xml:space="preserve">This dossier documents the evidence base supporting the need for the Texas Educator Benefits Expansion Act, which would provide school districts with a voluntary option to participate in the Employees Retirement System Group Benefits Program.</w:t>
      </w:r>
    </w:p>
    <w:p>
      <w:pPr>
        <w:pBdr>
          <w:left w:val="single" w:color="B8860B" w:sz="18" w:space="8"/>
        </w:pBdr>
        <w:spacing w:after="0" w:before="280"/>
      </w:pPr>
      <w:r>
        <w:rPr>
          <w:rFonts w:ascii="Arial" w:cs="Arial" w:eastAsia="Arial" w:hAnsi="Arial"/>
          <w:b/>
          <w:bCs/>
          <w:color w:val="1B2A4A"/>
          <w:sz w:val="26"/>
          <w:szCs w:val="26"/>
        </w:rPr>
        <w:t xml:space="preserve">METHODOLOGY AND LIMITS</w:t>
      </w:r>
    </w:p>
    <w:p>
      <w:pPr>
        <w:pBdr>
          <w:bottom w:val="single" w:color="D6E0EC" w:sz="2" w:space="1"/>
        </w:pBdr>
        <w:spacing w:after="120" w:before="0"/>
      </w:pPr>
    </w:p>
    <w:p>
      <w:pPr>
        <w:spacing w:after="100" w:before="80"/>
        <w:ind/>
        <w:jc w:val="both"/>
      </w:pPr>
      <w:r>
        <w:rPr>
          <w:rFonts w:ascii="Georgia" w:cs="Georgia" w:eastAsia="Georgia" w:hAnsi="Georgia"/>
          <w:b w:val="false"/>
          <w:bCs w:val="false"/>
          <w:i w:val="false"/>
          <w:iCs w:val="false"/>
          <w:color w:val="1A1A1A"/>
          <w:sz w:val="22"/>
          <w:szCs w:val="22"/>
        </w:rPr>
        <w:t xml:space="preserve">This report combines official Texas sources, federal labor statistics, national employer-benefit surveys, and a health-system scorecard. No single official source publishes a clean 50-state ranking of teacher health insurance generosity — teacher plans are negotiated differently across states and districts.</w:t>
      </w:r>
    </w:p>
    <w:p>
      <w:pPr>
        <w:spacing w:after="80" w:before="0"/>
        <w:ind/>
        <w:jc w:val="both"/>
      </w:pPr>
      <w:r>
        <w:rPr>
          <w:rFonts w:ascii="Georgia" w:cs="Georgia" w:eastAsia="Georgia" w:hAnsi="Georgia"/>
          <w:b w:val="false"/>
          <w:bCs w:val="false"/>
          <w:i w:val="false"/>
          <w:iCs w:val="false"/>
          <w:color w:val="1A1A1A"/>
          <w:sz w:val="22"/>
          <w:szCs w:val="22"/>
        </w:rPr>
        <w:t xml:space="preserve">To avoid false precision, the 50-state comparison in this report is labeled a contextual comparison rather than an official teacher-benefit ranking. The contextual rank is built from three publicly documented indicators:</w:t>
      </w:r>
    </w:p>
    <w:p>
      <w:pPr>
        <w:pStyle w:val="ListParagraph"/>
        <w:numPr>
          <w:ilvl w:val="0"/>
          <w:numId w:val="2"/>
        </w:numPr>
        <w:spacing w:after="60" w:before="40"/>
      </w:pPr>
      <w:r>
        <w:rPr>
          <w:rFonts w:ascii="Georgia" w:cs="Georgia" w:eastAsia="Georgia" w:hAnsi="Georgia"/>
          <w:color w:val="1A1A1A"/>
          <w:sz w:val="22"/>
          <w:szCs w:val="22"/>
        </w:rPr>
        <w:t xml:space="preserve">2024-25 average teacher salary rank by state (NEA Rankings &amp; Estimates 2025)</w:t>
      </w:r>
    </w:p>
    <w:p>
      <w:pPr>
        <w:pStyle w:val="ListParagraph"/>
        <w:numPr>
          <w:ilvl w:val="0"/>
          <w:numId w:val="2"/>
        </w:numPr>
        <w:spacing w:after="60" w:before="40"/>
      </w:pPr>
      <w:r>
        <w:rPr>
          <w:rFonts w:ascii="Georgia" w:cs="Georgia" w:eastAsia="Georgia" w:hAnsi="Georgia"/>
          <w:color w:val="1A1A1A"/>
          <w:sz w:val="22"/>
          <w:szCs w:val="22"/>
        </w:rPr>
        <w:t xml:space="preserve">2025 overall health-system rank (Commonwealth Fund 2025 Scorecard)</w:t>
      </w:r>
    </w:p>
    <w:p>
      <w:pPr>
        <w:pStyle w:val="ListParagraph"/>
        <w:numPr>
          <w:ilvl w:val="0"/>
          <w:numId w:val="2"/>
        </w:numPr>
        <w:spacing w:after="60" w:before="40"/>
      </w:pPr>
      <w:r>
        <w:rPr>
          <w:rFonts w:ascii="Georgia" w:cs="Georgia" w:eastAsia="Georgia" w:hAnsi="Georgia"/>
          <w:color w:val="1A1A1A"/>
          <w:sz w:val="22"/>
          <w:szCs w:val="22"/>
        </w:rPr>
        <w:t xml:space="preserve">2025 access-and-affordability rank (Commonwealth Fund 2025 Scorecard)</w:t>
      </w:r>
    </w:p>
    <w:p>
      <w:pPr>
        <w:spacing w:after="60" w:before="0"/>
      </w:pPr>
      <w:r>
        <w:t xml:space="preserve"/>
      </w:r>
    </w:p>
    <w:p>
      <w:pPr>
        <w:spacing w:after="120" w:before="0"/>
        <w:ind/>
        <w:jc w:val="both"/>
      </w:pPr>
      <w:r>
        <w:rPr>
          <w:rFonts w:ascii="Georgia" w:cs="Georgia" w:eastAsia="Georgia" w:hAnsi="Georgia"/>
          <w:b w:val="false"/>
          <w:bCs w:val="false"/>
          <w:i w:val="false"/>
          <w:iCs w:val="false"/>
          <w:color w:val="1A1A1A"/>
          <w:sz w:val="22"/>
          <w:szCs w:val="22"/>
        </w:rPr>
        <w:t xml:space="preserve">Lower composite scores indicate a stronger practical environment for a teacher trying to obtain and use health coverage. This is a reasonable comparison tool, but should not be mistaken for a formal actuarial ranking of every state's teacher plan.</w:t>
      </w:r>
    </w:p>
    <w:p>
      <w:pPr>
        <w:pBdr>
          <w:left w:val="single" w:color="B8860B" w:sz="18" w:space="8"/>
        </w:pBdr>
        <w:spacing w:after="0" w:before="280"/>
      </w:pPr>
      <w:r>
        <w:rPr>
          <w:rFonts w:ascii="Arial" w:cs="Arial" w:eastAsia="Arial" w:hAnsi="Arial"/>
          <w:b/>
          <w:bCs/>
          <w:color w:val="1B2A4A"/>
          <w:sz w:val="26"/>
          <w:szCs w:val="26"/>
        </w:rPr>
        <w:t xml:space="preserve">HOW TRS-ACTIVECARE WORKS FOR ACTIVE TEXAS TEACHERS</w:t>
      </w:r>
    </w:p>
    <w:p>
      <w:pPr>
        <w:pBdr>
          <w:bottom w:val="single" w:color="D6E0EC" w:sz="2" w:space="1"/>
        </w:pBdr>
        <w:spacing w:after="120" w:before="0"/>
      </w:pPr>
    </w:p>
    <w:p>
      <w:pPr>
        <w:spacing w:after="100" w:before="80"/>
        <w:ind/>
        <w:jc w:val="both"/>
      </w:pPr>
      <w:r>
        <w:rPr>
          <w:rFonts w:ascii="Georgia" w:cs="Georgia" w:eastAsia="Georgia" w:hAnsi="Georgia"/>
          <w:b w:val="false"/>
          <w:bCs w:val="false"/>
          <w:i w:val="false"/>
          <w:iCs w:val="false"/>
          <w:color w:val="1A1A1A"/>
          <w:sz w:val="22"/>
          <w:szCs w:val="22"/>
        </w:rPr>
        <w:t xml:space="preserve">TRS-ActiveCare was created under House Bill 3343 in 2001, with the statewide active-employee program launching September 1, 2002. The program covers active public-school employees in participating Texas school districts and is administered by the Teacher Retirement System of Texas.</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6E0EC" w:sz="1"/>
              <w:left w:val="single" w:color="B8860B" w:sz="14"/>
              <w:bottom w:val="single" w:color="D6E0EC" w:sz="1"/>
              <w:right w:val="single" w:color="D6E0EC" w:sz="1"/>
            </w:tcBorders>
            <w:shd w:fill="EEF2F7" w:val="clear"/>
            <w:tcMar>
              <w:top w:type="dxa" w:w="160"/>
              <w:left w:type="dxa" w:w="240"/>
              <w:bottom w:type="dxa" w:w="160"/>
              <w:right w:type="dxa" w:w="240"/>
            </w:tcMar>
          </w:tcPr>
          <w:p>
            <w:pPr>
              <w:spacing w:after="40" w:before="40"/>
            </w:pPr>
            <w:r>
              <w:rPr>
                <w:rFonts w:ascii="Georgia" w:cs="Georgia" w:eastAsia="Georgia" w:hAnsi="Georgia"/>
                <w:i w:val="false"/>
                <w:iCs w:val="false"/>
                <w:color w:val="1A1A1A"/>
                <w:sz w:val="22"/>
                <w:szCs w:val="22"/>
              </w:rPr>
              <w:t xml:space="preserve">State contribution:  $75 per employee per month (unchanged since program inception)</w:t>
            </w:r>
          </w:p>
          <w:p>
            <w:pPr>
              <w:spacing w:after="40" w:before="40"/>
            </w:pPr>
            <w:r>
              <w:rPr>
                <w:rFonts w:ascii="Georgia" w:cs="Georgia" w:eastAsia="Georgia" w:hAnsi="Georgia"/>
                <w:i w:val="false"/>
                <w:iCs w:val="false"/>
                <w:color w:val="1A1A1A"/>
                <w:sz w:val="22"/>
                <w:szCs w:val="22"/>
              </w:rPr>
              <w:t xml:space="preserve">Minimum district contribution:  $150 per employee per month (unchanged since program inception)</w:t>
            </w:r>
          </w:p>
          <w:p>
            <w:pPr>
              <w:spacing w:after="40" w:before="40"/>
            </w:pPr>
            <w:r>
              <w:rPr>
                <w:rFonts w:ascii="Georgia" w:cs="Georgia" w:eastAsia="Georgia" w:hAnsi="Georgia"/>
                <w:i w:val="false"/>
                <w:iCs w:val="false"/>
                <w:color w:val="1A1A1A"/>
                <w:sz w:val="22"/>
                <w:szCs w:val="22"/>
              </w:rPr>
              <w:t xml:space="preserve">Required combined minimum:  $225 per employee per month</w:t>
            </w:r>
          </w:p>
          <w:p>
            <w:pPr>
              <w:spacing w:after="40" w:before="40"/>
            </w:pPr>
            <w:r>
              <w:rPr>
                <w:rFonts w:ascii="Georgia" w:cs="Georgia" w:eastAsia="Georgia" w:hAnsi="Georgia"/>
                <w:i w:val="false"/>
                <w:iCs w:val="false"/>
                <w:color w:val="1A1A1A"/>
                <w:sz w:val="22"/>
                <w:szCs w:val="22"/>
              </w:rPr>
              <w:t xml:space="preserve"/>
            </w:r>
          </w:p>
          <w:p>
            <w:pPr>
              <w:spacing w:after="40" w:before="40"/>
            </w:pPr>
            <w:r>
              <w:rPr>
                <w:rFonts w:ascii="Georgia" w:cs="Georgia" w:eastAsia="Georgia" w:hAnsi="Georgia"/>
                <w:i/>
                <w:iCs/>
                <w:color w:val="1A1A1A"/>
                <w:sz w:val="22"/>
                <w:szCs w:val="22"/>
              </w:rPr>
              <w:t xml:space="preserve">Note: When the law passed in 2001, the $225 combined contribution could cover the full monthly premium for an employee-only plan. That is no longer true. — Texas 2036</w:t>
            </w:r>
          </w:p>
        </w:tc>
      </w:tr>
    </w:tbl>
    <w:p>
      <w:pPr>
        <w:spacing w:after="80" w:before="0"/>
      </w:pPr>
      <w:r>
        <w:t xml:space="preserve"/>
      </w:r>
    </w:p>
    <w:p>
      <w:pPr>
        <w:spacing w:after="120" w:before="80"/>
        <w:ind/>
        <w:jc w:val="both"/>
      </w:pPr>
      <w:r>
        <w:rPr>
          <w:rFonts w:ascii="Georgia" w:cs="Georgia" w:eastAsia="Georgia" w:hAnsi="Georgia"/>
          <w:b w:val="false"/>
          <w:bCs w:val="false"/>
          <w:i w:val="false"/>
          <w:iCs w:val="false"/>
          <w:color w:val="1A1A1A"/>
          <w:sz w:val="22"/>
          <w:szCs w:val="22"/>
        </w:rPr>
        <w:t xml:space="preserve">TRS legislative materials and policy analysis have repeatedly described the underlying challenge as one of funding. TRS' 2022 alternative benefits study states that healthcare costs rose approximately 5 percent per year over the prior 20 years, while the basic state and local contribution framework remained largely unchanged.</w:t>
      </w:r>
    </w:p>
    <w:p>
      <w:pPr>
        <w:pBdr>
          <w:left w:val="single" w:color="B8860B" w:sz="18" w:space="8"/>
        </w:pBdr>
        <w:spacing w:after="0" w:before="280"/>
      </w:pPr>
      <w:r>
        <w:rPr>
          <w:rFonts w:ascii="Arial" w:cs="Arial" w:eastAsia="Arial" w:hAnsi="Arial"/>
          <w:b/>
          <w:bCs/>
          <w:color w:val="1B2A4A"/>
          <w:sz w:val="26"/>
          <w:szCs w:val="26"/>
        </w:rPr>
        <w:t xml:space="preserve">CURRENT NORTH TEXAS (REGION 10) PREMIUM STRUCTURE</w:t>
      </w:r>
    </w:p>
    <w:p>
      <w:pPr>
        <w:pBdr>
          <w:bottom w:val="single" w:color="D6E0EC" w:sz="2" w:space="1"/>
        </w:pBdr>
        <w:spacing w:after="120" w:before="0"/>
      </w:pPr>
    </w:p>
    <w:p>
      <w:pPr>
        <w:spacing w:after="100" w:before="80"/>
        <w:ind/>
        <w:jc w:val="both"/>
      </w:pPr>
      <w:r>
        <w:rPr>
          <w:rFonts w:ascii="Georgia" w:cs="Georgia" w:eastAsia="Georgia" w:hAnsi="Georgia"/>
          <w:b w:val="false"/>
          <w:bCs w:val="false"/>
          <w:i w:val="false"/>
          <w:iCs w:val="false"/>
          <w:color w:val="1A1A1A"/>
          <w:sz w:val="22"/>
          <w:szCs w:val="22"/>
        </w:rPr>
        <w:t xml:space="preserve">The following table uses Education Service Center Region 10 (Richardson/Dallas area) as the local reference point for current active-teacher premium comparisons. Region 10 is relevant to the Dallas-Mesquite area and representative of the North Texas metropolitan environment.</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80"/>
        <w:gridCol w:w="1580"/>
        <w:gridCol w:w="1000"/>
        <w:gridCol w:w="3000"/>
      </w:tblGrid>
      <w:tr>
        <w:trPr>
          <w:tblHeader/>
        </w:trPr>
        <w:tc>
          <w:tcPr>
            <w:tcW w:type="dxa" w:w="22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Plan / Tier</w:t>
            </w:r>
          </w:p>
        </w:tc>
        <w:tc>
          <w:tcPr>
            <w:tcW w:type="dxa" w:w="158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2024-25 Total Premium</w:t>
            </w:r>
          </w:p>
        </w:tc>
        <w:tc>
          <w:tcPr>
            <w:tcW w:type="dxa" w:w="158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2025-26 Total Premium</w:t>
            </w:r>
          </w:p>
        </w:tc>
        <w:tc>
          <w:tcPr>
            <w:tcW w:type="dxa" w:w="10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Change</w:t>
            </w:r>
          </w:p>
        </w:tc>
        <w:tc>
          <w:tcPr>
            <w:tcW w:type="dxa" w:w="30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Max Teacher Cost at $225 Contribution (2025-26)</w:t>
            </w:r>
          </w:p>
        </w:tc>
      </w:tr>
      <w:tr>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Primary — Employee Only</w:t>
            </w:r>
          </w:p>
        </w:tc>
        <w:tc>
          <w:tcPr>
            <w:tcW w:type="dxa" w:w="15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$501</w:t>
            </w:r>
          </w:p>
        </w:tc>
        <w:tc>
          <w:tcPr>
            <w:tcW w:type="dxa" w:w="15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$556</w:t>
            </w:r>
          </w:p>
        </w:tc>
        <w:tc>
          <w:tcPr>
            <w:tcW w:type="dxa" w:w="10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Arial" w:cs="Arial" w:eastAsia="Arial" w:hAnsi="Arial"/>
                <w:b/>
                <w:bCs/>
                <w:color w:val="8B0000"/>
                <w:sz w:val="19"/>
                <w:szCs w:val="19"/>
              </w:rPr>
              <w:t xml:space="preserve">+$55</w:t>
            </w:r>
          </w:p>
        </w:tc>
        <w:tc>
          <w:tcPr>
            <w:tcW w:type="dxa" w:w="30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$331</w:t>
            </w:r>
          </w:p>
        </w:tc>
      </w:tr>
      <w:tr>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Primary+ — Employee Only</w:t>
            </w:r>
          </w:p>
        </w:tc>
        <w:tc>
          <w:tcPr>
            <w:tcW w:type="dxa" w:w="15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$588</w:t>
            </w:r>
          </w:p>
        </w:tc>
        <w:tc>
          <w:tcPr>
            <w:tcW w:type="dxa" w:w="15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$653</w:t>
            </w:r>
          </w:p>
        </w:tc>
        <w:tc>
          <w:tcPr>
            <w:tcW w:type="dxa" w:w="10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Arial" w:cs="Arial" w:eastAsia="Arial" w:hAnsi="Arial"/>
                <w:b/>
                <w:bCs/>
                <w:color w:val="8B0000"/>
                <w:sz w:val="19"/>
                <w:szCs w:val="19"/>
              </w:rPr>
              <w:t xml:space="preserve">+$65</w:t>
            </w:r>
          </w:p>
        </w:tc>
        <w:tc>
          <w:tcPr>
            <w:tcW w:type="dxa" w:w="30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$428</w:t>
            </w:r>
          </w:p>
        </w:tc>
      </w:tr>
      <w:tr>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HD — Employee Only</w:t>
            </w:r>
          </w:p>
        </w:tc>
        <w:tc>
          <w:tcPr>
            <w:tcW w:type="dxa" w:w="15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$513</w:t>
            </w:r>
          </w:p>
        </w:tc>
        <w:tc>
          <w:tcPr>
            <w:tcW w:type="dxa" w:w="15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$570</w:t>
            </w:r>
          </w:p>
        </w:tc>
        <w:tc>
          <w:tcPr>
            <w:tcW w:type="dxa" w:w="10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Arial" w:cs="Arial" w:eastAsia="Arial" w:hAnsi="Arial"/>
                <w:b/>
                <w:bCs/>
                <w:color w:val="8B0000"/>
                <w:sz w:val="19"/>
                <w:szCs w:val="19"/>
              </w:rPr>
              <w:t xml:space="preserve">+$57</w:t>
            </w:r>
          </w:p>
        </w:tc>
        <w:tc>
          <w:tcPr>
            <w:tcW w:type="dxa" w:w="30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$345</w:t>
            </w:r>
          </w:p>
        </w:tc>
      </w:tr>
      <w:tr>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Primary — Family</w:t>
            </w:r>
          </w:p>
        </w:tc>
        <w:tc>
          <w:tcPr>
            <w:tcW w:type="dxa" w:w="15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$1,704</w:t>
            </w:r>
          </w:p>
        </w:tc>
        <w:tc>
          <w:tcPr>
            <w:tcW w:type="dxa" w:w="15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$1,891</w:t>
            </w:r>
          </w:p>
        </w:tc>
        <w:tc>
          <w:tcPr>
            <w:tcW w:type="dxa" w:w="10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Arial" w:cs="Arial" w:eastAsia="Arial" w:hAnsi="Arial"/>
                <w:b/>
                <w:bCs/>
                <w:color w:val="8B0000"/>
                <w:sz w:val="19"/>
                <w:szCs w:val="19"/>
              </w:rPr>
              <w:t xml:space="preserve">+$187</w:t>
            </w:r>
          </w:p>
        </w:tc>
        <w:tc>
          <w:tcPr>
            <w:tcW w:type="dxa" w:w="30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$1,666</w:t>
            </w:r>
          </w:p>
        </w:tc>
      </w:tr>
      <w:tr>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Primary+ — Family</w:t>
            </w:r>
          </w:p>
        </w:tc>
        <w:tc>
          <w:tcPr>
            <w:tcW w:type="dxa" w:w="15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$1,941</w:t>
            </w:r>
          </w:p>
        </w:tc>
        <w:tc>
          <w:tcPr>
            <w:tcW w:type="dxa" w:w="15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$2,155</w:t>
            </w:r>
          </w:p>
        </w:tc>
        <w:tc>
          <w:tcPr>
            <w:tcW w:type="dxa" w:w="10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Arial" w:cs="Arial" w:eastAsia="Arial" w:hAnsi="Arial"/>
                <w:b/>
                <w:bCs/>
                <w:color w:val="8B0000"/>
                <w:sz w:val="19"/>
                <w:szCs w:val="19"/>
              </w:rPr>
              <w:t xml:space="preserve">+$214</w:t>
            </w:r>
          </w:p>
        </w:tc>
        <w:tc>
          <w:tcPr>
            <w:tcW w:type="dxa" w:w="30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$1,930</w:t>
            </w:r>
          </w:p>
        </w:tc>
      </w:tr>
      <w:tr>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HD — Family</w:t>
            </w:r>
          </w:p>
        </w:tc>
        <w:tc>
          <w:tcPr>
            <w:tcW w:type="dxa" w:w="15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$1,745</w:t>
            </w:r>
          </w:p>
        </w:tc>
        <w:tc>
          <w:tcPr>
            <w:tcW w:type="dxa" w:w="15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$1,938</w:t>
            </w:r>
          </w:p>
        </w:tc>
        <w:tc>
          <w:tcPr>
            <w:tcW w:type="dxa" w:w="10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Arial" w:cs="Arial" w:eastAsia="Arial" w:hAnsi="Arial"/>
                <w:b/>
                <w:bCs/>
                <w:color w:val="8B0000"/>
                <w:sz w:val="19"/>
                <w:szCs w:val="19"/>
              </w:rPr>
              <w:t xml:space="preserve">+$193</w:t>
            </w:r>
          </w:p>
        </w:tc>
        <w:tc>
          <w:tcPr>
            <w:tcW w:type="dxa" w:w="30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$1,713</w:t>
            </w:r>
          </w:p>
        </w:tc>
      </w:tr>
    </w:tbl>
    <w:p>
      <w:pPr>
        <w:spacing w:after="60" w:before="0"/>
      </w:pPr>
      <w:r>
        <w:t xml:space="preserve"/>
      </w:r>
    </w:p>
    <w:p>
      <w:pPr>
        <w:spacing w:after="120" w:before="40"/>
        <w:ind/>
        <w:jc w:val="both"/>
      </w:pPr>
      <w:r>
        <w:rPr>
          <w:rFonts w:ascii="Georgia" w:cs="Georgia" w:eastAsia="Georgia" w:hAnsi="Georgia"/>
          <w:b w:val="false"/>
          <w:bCs w:val="false"/>
          <w:i/>
          <w:iCs/>
          <w:color w:val="444444"/>
          <w:sz w:val="19"/>
          <w:szCs w:val="19"/>
        </w:rPr>
        <w:t xml:space="preserve">Note: Total premium is the cost set by TRS before any employer contribution. The last column shows the maximum teacher share if the district contributes only the statutory minimum of $225 per month. Many districts contribute more, so actual teacher payroll deductions can be lower. Sources: TRS Region 10 Plan Highlights 2024-25 and 2025-26.</w:t>
      </w:r>
    </w:p>
    <w:p>
      <w:pPr>
        <w:pBdr>
          <w:left w:val="single" w:color="B8860B" w:sz="18" w:space="8"/>
        </w:pBdr>
        <w:spacing w:after="0" w:before="280"/>
      </w:pPr>
      <w:r>
        <w:rPr>
          <w:rFonts w:ascii="Arial" w:cs="Arial" w:eastAsia="Arial" w:hAnsi="Arial"/>
          <w:b/>
          <w:bCs/>
          <w:color w:val="1B2A4A"/>
          <w:sz w:val="26"/>
          <w:szCs w:val="26"/>
        </w:rPr>
        <w:t xml:space="preserve">50-STATE CONTEXTUAL COMPARISON</w:t>
      </w:r>
    </w:p>
    <w:p>
      <w:pPr>
        <w:pBdr>
          <w:bottom w:val="single" w:color="D6E0EC" w:sz="2" w:space="1"/>
        </w:pBdr>
        <w:spacing w:after="120" w:before="0"/>
      </w:pPr>
    </w:p>
    <w:p>
      <w:pPr>
        <w:spacing w:after="100" w:before="80"/>
        <w:ind/>
        <w:jc w:val="both"/>
      </w:pPr>
      <w:r>
        <w:rPr>
          <w:rFonts w:ascii="Georgia" w:cs="Georgia" w:eastAsia="Georgia" w:hAnsi="Georgia"/>
          <w:b w:val="false"/>
          <w:bCs w:val="false"/>
          <w:i w:val="false"/>
          <w:iCs w:val="false"/>
          <w:color w:val="1A1A1A"/>
          <w:sz w:val="22"/>
          <w:szCs w:val="22"/>
        </w:rPr>
        <w:t xml:space="preserve">The table below ranks all 50 states by a contextual active-teacher health-benefit environment score built from salary rank, overall health-system rank, and access-and-affordability rank. It is a proxy comparison, not an official actuarial ranking. Lower context rank indicates a more favorable combined environment for a teacher seeking affordable health coverage.</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2000"/>
        <w:gridCol w:w="1400"/>
        <w:gridCol w:w="900"/>
        <w:gridCol w:w="1100"/>
        <w:gridCol w:w="1560"/>
        <w:gridCol w:w="1600"/>
      </w:tblGrid>
      <w:tr>
        <w:trPr>
          <w:tblHeader/>
        </w:trPr>
        <w:tc>
          <w:tcPr>
            <w:tcW w:type="dxa" w:w="8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Rank</w:t>
            </w:r>
          </w:p>
        </w:tc>
        <w:tc>
          <w:tcPr>
            <w:tcW w:type="dxa" w:w="20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State</w:t>
            </w:r>
          </w:p>
        </w:tc>
        <w:tc>
          <w:tcPr>
            <w:tcW w:type="dxa" w:w="14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Avg Teacher Salary</w:t>
            </w:r>
          </w:p>
        </w:tc>
        <w:tc>
          <w:tcPr>
            <w:tcW w:type="dxa" w:w="9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Salary Rank</w:t>
            </w:r>
          </w:p>
        </w:tc>
        <w:tc>
          <w:tcPr>
            <w:tcW w:type="dxa" w:w="11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Health System Rank</w:t>
            </w:r>
          </w:p>
        </w:tc>
        <w:tc>
          <w:tcPr>
            <w:tcW w:type="dxa" w:w="156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Access &amp; Afford. Rank</w:t>
            </w:r>
          </w:p>
        </w:tc>
        <w:tc>
          <w:tcPr>
            <w:tcW w:type="dxa" w:w="16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Composite Score</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Massachusetts</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$94,645</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1.7</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Rhode Island</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$85,772</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7</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6</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5.7</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Hawaii</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$75,860</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14</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6.0</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New York</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$98,123</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6</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16</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8.0</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5</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Connecticut</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$89,593</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5</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11</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9</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8.3</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6</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Washington</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$94,221</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9</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15</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9.3</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7</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New Hampshire</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$69,432</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23</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9.7</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8</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Maryland</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$87,409</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6</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7</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17</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10.0</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8</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Vermont</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$71,778</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17</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8</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5</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10.0</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10</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Oregon</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$79,560</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10</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12</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13</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11.7</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11</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Minnesota</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$74,651</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16</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15</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7</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12.7</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11</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Pennsylvania</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$79,032</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11</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13</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14</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12.7</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13</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New Jersey</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$84,256</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8</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16</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19</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14.3</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14</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California</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$103,379</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20</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25</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15.3</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15</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Michigan</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$71,188</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19</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23</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10</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17.3</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16</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Colorado</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$70,492</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21</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10</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23</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18.0</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17</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Illinois</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$77,731</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12</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27</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20</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19.7</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18</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Iowa</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$63,648</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31</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18</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11</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20.0</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18</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Virginia</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$68,292</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25</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14</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21</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20.0</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20</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Wisconsin</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$67,370</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26</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26</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12</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21.3</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21</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Delaware</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$76,570</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13</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25</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27</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21.7</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21</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Utah</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$70,916</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20</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17</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28</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21.7</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23</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Maine</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$66,408</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27</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21</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18</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22.0</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24</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North Dakota</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$60,704</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40</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22</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8</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23.3</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25</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Ohio</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$68,938</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24</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30</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22</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25.3</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26</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Alaska</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$79,842</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9</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38</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33</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26.7</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26</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Nebraska</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$63,326</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32</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24</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24</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26.7</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28</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Idaho</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$62,786</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35</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19</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30</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28.0</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29</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New Mexico</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$69,736</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22</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31</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45</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32.7</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30</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Montana</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$59,305</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44</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28</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31</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34.3</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30</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South Dakota</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$58,879</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45</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32</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26</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34.3</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32</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Arizona</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$64,420</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29</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34</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43</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35.3</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32</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Indiana</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$60,387</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42</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35</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29</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35.3</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34</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Kansas</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$60,849</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39</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33</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35</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35.7</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35</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South Carolina</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$63,109</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34</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36</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39</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36.3</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36</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Georgia</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$71,524</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18</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45</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47</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36.7</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36</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Kentucky</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$60,594</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41</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37</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32</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36.7</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36</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Nevada</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$74,812</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15</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46</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49</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36.7</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36</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North Carolina</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$60,323</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43</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29</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38</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36.7</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40</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Wyoming</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$65,265</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28</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40</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46</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38.0</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41</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Alabama</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$63,176</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33</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42</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40</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38.3</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42</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Tennessee</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$62,196</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36</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44</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41</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40.3</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43</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Louisiana</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$56,779</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48</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41</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37</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42.0</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43</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Missouri</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$57,366</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47</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43</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36</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42.0</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45</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West Virginia</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$58,312</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46</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47</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34</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42.3</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46</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Arkansas</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$61,430</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38</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48</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42</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42.7</w:t>
            </w:r>
          </w:p>
        </w:tc>
      </w:tr>
      <w:tr>
        <w:tc>
          <w:tcPr>
            <w:tcW w:type="dxa" w:w="800"/>
            <w:tcBorders>
              <w:top w:val="single" w:color="8B0000" w:sz="1"/>
              <w:left w:val="single" w:color="8B0000" w:sz="8"/>
              <w:bottom w:val="single" w:color="8B0000" w:sz="1"/>
              <w:right w:val="single" w:color="8B0000" w:sz="1"/>
            </w:tcBorders>
            <w:shd w:fill="FFF0F0" w:val="clear"/>
            <w:tcMar>
              <w:top w:type="dxa" w:w="70"/>
              <w:left w:type="dxa" w:w="100"/>
              <w:bottom w:type="dxa" w:w="70"/>
              <w:right w:type="dxa" w:w="100"/>
            </w:tcMar>
          </w:tcPr>
          <w:p>
            <w:pPr>
              <w:jc w:val="center"/>
            </w:pPr>
            <w:r>
              <w:rPr>
                <w:rFonts w:ascii="Arial" w:cs="Arial" w:eastAsia="Arial" w:hAnsi="Arial"/>
                <w:b/>
                <w:bCs/>
                <w:color w:val="8B0000"/>
                <w:sz w:val="18"/>
                <w:szCs w:val="18"/>
              </w:rPr>
              <w:t xml:space="preserve">47</w:t>
            </w:r>
          </w:p>
        </w:tc>
        <w:tc>
          <w:tcPr>
            <w:tcW w:type="dxa" w:w="2000"/>
            <w:tcBorders>
              <w:top w:val="single" w:color="8B0000" w:sz="1"/>
              <w:left w:val="single" w:color="8B0000" w:sz="8"/>
              <w:bottom w:val="single" w:color="8B0000" w:sz="1"/>
              <w:right w:val="single" w:color="8B0000" w:sz="1"/>
            </w:tcBorders>
            <w:shd w:fill="FFF0F0" w:val="clear"/>
            <w:tcMar>
              <w:top w:type="dxa" w:w="70"/>
              <w:left w:type="dxa" w:w="100"/>
              <w:bottom w:type="dxa" w:w="70"/>
              <w:right w:type="dxa" w:w="100"/>
            </w:tcMar>
          </w:tcPr>
          <w:p>
            <w:pPr>
              <w:jc w:val="left"/>
            </w:pPr>
            <w:r>
              <w:rPr>
                <w:rFonts w:ascii="Arial" w:cs="Arial" w:eastAsia="Arial" w:hAnsi="Arial"/>
                <w:b/>
                <w:bCs/>
                <w:color w:val="8B0000"/>
                <w:sz w:val="18"/>
                <w:szCs w:val="18"/>
              </w:rPr>
              <w:t xml:space="preserve">TEXAS</w:t>
            </w:r>
          </w:p>
        </w:tc>
        <w:tc>
          <w:tcPr>
            <w:tcW w:type="dxa" w:w="1400"/>
            <w:tcBorders>
              <w:top w:val="single" w:color="8B0000" w:sz="1"/>
              <w:left w:val="single" w:color="8B0000" w:sz="8"/>
              <w:bottom w:val="single" w:color="8B0000" w:sz="1"/>
              <w:right w:val="single" w:color="8B0000" w:sz="1"/>
            </w:tcBorders>
            <w:shd w:fill="FFF0F0" w:val="clear"/>
            <w:tcMar>
              <w:top w:type="dxa" w:w="70"/>
              <w:left w:type="dxa" w:w="100"/>
              <w:bottom w:type="dxa" w:w="70"/>
              <w:right w:type="dxa" w:w="100"/>
            </w:tcMar>
          </w:tcPr>
          <w:p>
            <w:pPr>
              <w:jc w:val="left"/>
            </w:pPr>
            <w:r>
              <w:rPr>
                <w:rFonts w:ascii="Arial" w:cs="Arial" w:eastAsia="Arial" w:hAnsi="Arial"/>
                <w:b/>
                <w:bCs/>
                <w:color w:val="8B0000"/>
                <w:sz w:val="18"/>
                <w:szCs w:val="18"/>
              </w:rPr>
              <w:t xml:space="preserve">$63,749</w:t>
            </w:r>
          </w:p>
        </w:tc>
        <w:tc>
          <w:tcPr>
            <w:tcW w:type="dxa" w:w="900"/>
            <w:tcBorders>
              <w:top w:val="single" w:color="8B0000" w:sz="1"/>
              <w:left w:val="single" w:color="8B0000" w:sz="8"/>
              <w:bottom w:val="single" w:color="8B0000" w:sz="1"/>
              <w:right w:val="single" w:color="8B0000" w:sz="1"/>
            </w:tcBorders>
            <w:shd w:fill="FFF0F0" w:val="clear"/>
            <w:tcMar>
              <w:top w:type="dxa" w:w="70"/>
              <w:left w:type="dxa" w:w="100"/>
              <w:bottom w:type="dxa" w:w="70"/>
              <w:right w:type="dxa" w:w="100"/>
            </w:tcMar>
          </w:tcPr>
          <w:p>
            <w:pPr>
              <w:jc w:val="center"/>
            </w:pPr>
            <w:r>
              <w:rPr>
                <w:rFonts w:ascii="Arial" w:cs="Arial" w:eastAsia="Arial" w:hAnsi="Arial"/>
                <w:b/>
                <w:bCs/>
                <w:color w:val="8B0000"/>
                <w:sz w:val="18"/>
                <w:szCs w:val="18"/>
              </w:rPr>
              <w:t xml:space="preserve">30</w:t>
            </w:r>
          </w:p>
        </w:tc>
        <w:tc>
          <w:tcPr>
            <w:tcW w:type="dxa" w:w="1100"/>
            <w:tcBorders>
              <w:top w:val="single" w:color="8B0000" w:sz="1"/>
              <w:left w:val="single" w:color="8B0000" w:sz="8"/>
              <w:bottom w:val="single" w:color="8B0000" w:sz="1"/>
              <w:right w:val="single" w:color="8B0000" w:sz="1"/>
            </w:tcBorders>
            <w:shd w:fill="FFF0F0" w:val="clear"/>
            <w:tcMar>
              <w:top w:type="dxa" w:w="70"/>
              <w:left w:type="dxa" w:w="100"/>
              <w:bottom w:type="dxa" w:w="70"/>
              <w:right w:type="dxa" w:w="100"/>
            </w:tcMar>
          </w:tcPr>
          <w:p>
            <w:pPr>
              <w:jc w:val="center"/>
            </w:pPr>
            <w:r>
              <w:rPr>
                <w:rFonts w:ascii="Arial" w:cs="Arial" w:eastAsia="Arial" w:hAnsi="Arial"/>
                <w:b/>
                <w:bCs/>
                <w:color w:val="8B0000"/>
                <w:sz w:val="18"/>
                <w:szCs w:val="18"/>
              </w:rPr>
              <w:t xml:space="preserve">50</w:t>
            </w:r>
          </w:p>
        </w:tc>
        <w:tc>
          <w:tcPr>
            <w:tcW w:type="dxa" w:w="1560"/>
            <w:tcBorders>
              <w:top w:val="single" w:color="8B0000" w:sz="1"/>
              <w:left w:val="single" w:color="8B0000" w:sz="8"/>
              <w:bottom w:val="single" w:color="8B0000" w:sz="1"/>
              <w:right w:val="single" w:color="8B0000" w:sz="1"/>
            </w:tcBorders>
            <w:shd w:fill="FFF0F0" w:val="clear"/>
            <w:tcMar>
              <w:top w:type="dxa" w:w="70"/>
              <w:left w:type="dxa" w:w="100"/>
              <w:bottom w:type="dxa" w:w="70"/>
              <w:right w:type="dxa" w:w="100"/>
            </w:tcMar>
          </w:tcPr>
          <w:p>
            <w:pPr>
              <w:jc w:val="center"/>
            </w:pPr>
            <w:r>
              <w:rPr>
                <w:rFonts w:ascii="Arial" w:cs="Arial" w:eastAsia="Arial" w:hAnsi="Arial"/>
                <w:b/>
                <w:bCs/>
                <w:color w:val="8B0000"/>
                <w:sz w:val="18"/>
                <w:szCs w:val="18"/>
              </w:rPr>
              <w:t xml:space="preserve">51</w:t>
            </w:r>
          </w:p>
        </w:tc>
        <w:tc>
          <w:tcPr>
            <w:tcW w:type="dxa" w:w="1600"/>
            <w:tcBorders>
              <w:top w:val="single" w:color="8B0000" w:sz="1"/>
              <w:left w:val="single" w:color="8B0000" w:sz="8"/>
              <w:bottom w:val="single" w:color="8B0000" w:sz="1"/>
              <w:right w:val="single" w:color="8B0000" w:sz="1"/>
            </w:tcBorders>
            <w:shd w:fill="FFF0F0" w:val="clear"/>
            <w:tcMar>
              <w:top w:type="dxa" w:w="70"/>
              <w:left w:type="dxa" w:w="100"/>
              <w:bottom w:type="dxa" w:w="70"/>
              <w:right w:type="dxa" w:w="100"/>
            </w:tcMar>
          </w:tcPr>
          <w:p>
            <w:pPr>
              <w:jc w:val="center"/>
            </w:pPr>
            <w:r>
              <w:rPr>
                <w:rFonts w:ascii="Arial" w:cs="Arial" w:eastAsia="Arial" w:hAnsi="Arial"/>
                <w:b/>
                <w:bCs/>
                <w:color w:val="8B0000"/>
                <w:sz w:val="18"/>
                <w:szCs w:val="18"/>
              </w:rPr>
              <w:t xml:space="preserve">43.7</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48</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Florida</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$56,440</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49</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39</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44</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44.0</w:t>
            </w:r>
          </w:p>
        </w:tc>
      </w:tr>
      <w:tr>
        <w:tc>
          <w:tcPr>
            <w:tcW w:type="dxa" w:w="8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49</w:t>
            </w:r>
          </w:p>
        </w:tc>
        <w:tc>
          <w:tcPr>
            <w:tcW w:type="dxa" w:w="20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Oklahoma</w:t>
            </w:r>
          </w:p>
        </w:tc>
        <w:tc>
          <w:tcPr>
            <w:tcW w:type="dxa" w:w="14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$61,686</w:t>
            </w:r>
          </w:p>
        </w:tc>
        <w:tc>
          <w:tcPr>
            <w:tcW w:type="dxa" w:w="9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37</w:t>
            </w:r>
          </w:p>
        </w:tc>
        <w:tc>
          <w:tcPr>
            <w:tcW w:type="dxa" w:w="11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49</w:t>
            </w:r>
          </w:p>
        </w:tc>
        <w:tc>
          <w:tcPr>
            <w:tcW w:type="dxa" w:w="156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48</w:t>
            </w:r>
          </w:p>
        </w:tc>
        <w:tc>
          <w:tcPr>
            <w:tcW w:type="dxa" w:w="1600"/>
            <w:tcBorders>
              <w:top w:val="single" w:color="D8D8D8" w:sz="1"/>
              <w:left w:val="single" w:color="D8D8D8" w:sz="1"/>
              <w:bottom w:val="single" w:color="D8D8D8" w:sz="1"/>
              <w:right w:val="single" w:color="D8D8D8" w:sz="1"/>
            </w:tcBorders>
            <w:shd w:fill="EEF2F7"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44.7</w:t>
            </w:r>
          </w:p>
        </w:tc>
      </w:tr>
      <w:tr>
        <w:tc>
          <w:tcPr>
            <w:tcW w:type="dxa" w:w="8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50</w:t>
            </w:r>
          </w:p>
        </w:tc>
        <w:tc>
          <w:tcPr>
            <w:tcW w:type="dxa" w:w="20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Mississippi</w:t>
            </w:r>
          </w:p>
        </w:tc>
        <w:tc>
          <w:tcPr>
            <w:tcW w:type="dxa" w:w="14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left"/>
            </w:pPr>
            <w:r>
              <w:rPr>
                <w:rFonts w:ascii="Georgia" w:cs="Georgia" w:eastAsia="Georgia" w:hAnsi="Georgia"/>
                <w:b w:val="false"/>
                <w:bCs w:val="false"/>
                <w:color w:val="1A1A1A"/>
                <w:sz w:val="18"/>
                <w:szCs w:val="18"/>
              </w:rPr>
              <w:t xml:space="preserve">$55,086</w:t>
            </w:r>
          </w:p>
        </w:tc>
        <w:tc>
          <w:tcPr>
            <w:tcW w:type="dxa" w:w="9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50</w:t>
            </w:r>
          </w:p>
        </w:tc>
        <w:tc>
          <w:tcPr>
            <w:tcW w:type="dxa" w:w="11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51</w:t>
            </w:r>
          </w:p>
        </w:tc>
        <w:tc>
          <w:tcPr>
            <w:tcW w:type="dxa" w:w="156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50</w:t>
            </w:r>
          </w:p>
        </w:tc>
        <w:tc>
          <w:tcPr>
            <w:tcW w:type="dxa" w:w="1600"/>
            <w:tcBorders>
              <w:top w:val="single" w:color="D8D8D8" w:sz="1"/>
              <w:left w:val="single" w:color="D8D8D8" w:sz="1"/>
              <w:bottom w:val="single" w:color="D8D8D8" w:sz="1"/>
              <w:right w:val="single" w:color="D8D8D8" w:sz="1"/>
            </w:tcBorders>
            <w:shd w:fill="FFFFFF" w:val="clear"/>
            <w:tcMar>
              <w:top w:type="dxa" w:w="70"/>
              <w:left w:type="dxa" w:w="100"/>
              <w:bottom w:type="dxa" w:w="70"/>
              <w:right w:type="dxa" w:w="100"/>
            </w:tcMar>
          </w:tcPr>
          <w:p>
            <w:pPr>
              <w:jc w:val="center"/>
            </w:pPr>
            <w:r>
              <w:rPr>
                <w:rFonts w:ascii="Georgia" w:cs="Georgia" w:eastAsia="Georgia" w:hAnsi="Georgia"/>
                <w:b w:val="false"/>
                <w:bCs w:val="false"/>
                <w:color w:val="1A1A1A"/>
                <w:sz w:val="18"/>
                <w:szCs w:val="18"/>
              </w:rPr>
              <w:t xml:space="preserve">50.3</w:t>
            </w:r>
          </w:p>
        </w:tc>
      </w:tr>
    </w:tbl>
    <w:p>
      <w:pPr>
        <w:spacing w:after="60" w:before="0"/>
      </w:pPr>
      <w:r>
        <w:t xml:space="preserve"/>
      </w:r>
    </w:p>
    <w:p>
      <w:pPr>
        <w:spacing w:after="120" w:before="40"/>
        <w:ind/>
        <w:jc w:val="both"/>
      </w:pPr>
      <w:r>
        <w:rPr>
          <w:rFonts w:ascii="Georgia" w:cs="Georgia" w:eastAsia="Georgia" w:hAnsi="Georgia"/>
          <w:b w:val="false"/>
          <w:bCs w:val="false"/>
          <w:i/>
          <w:iCs/>
          <w:color w:val="444444"/>
          <w:sz w:val="19"/>
          <w:szCs w:val="19"/>
        </w:rPr>
        <w:t xml:space="preserve">Note: Data inputs: NEA Rankings &amp; Estimates 2025 for teacher salaries; Commonwealth Fund 2025 Scorecard on State Health System Performance for statewide healthcare context. Texas is highlighted. Lower context rank = more favorable environment.</w:t>
      </w:r>
    </w:p>
    <w:p>
      <w:pPr>
        <w:pBdr>
          <w:left w:val="single" w:color="B8860B" w:sz="18" w:space="8"/>
        </w:pBdr>
        <w:spacing w:after="0" w:before="280"/>
      </w:pPr>
      <w:r>
        <w:rPr>
          <w:rFonts w:ascii="Arial" w:cs="Arial" w:eastAsia="Arial" w:hAnsi="Arial"/>
          <w:b/>
          <w:bCs/>
          <w:color w:val="1B2A4A"/>
          <w:sz w:val="26"/>
          <w:szCs w:val="26"/>
        </w:rPr>
        <w:t xml:space="preserve">TRS-ACTIVECARE PREMIUM HISTORY AND FUNDING PRESSURE</w:t>
      </w:r>
    </w:p>
    <w:p>
      <w:pPr>
        <w:pBdr>
          <w:bottom w:val="single" w:color="D6E0EC" w:sz="2" w:space="1"/>
        </w:pBdr>
        <w:spacing w:after="120" w:before="0"/>
      </w:pPr>
    </w:p>
    <w:p>
      <w:pPr>
        <w:spacing w:after="100" w:before="80"/>
        <w:ind/>
        <w:jc w:val="both"/>
      </w:pPr>
      <w:r>
        <w:rPr>
          <w:rFonts w:ascii="Georgia" w:cs="Georgia" w:eastAsia="Georgia" w:hAnsi="Georgia"/>
          <w:b w:val="false"/>
          <w:bCs w:val="false"/>
          <w:i w:val="false"/>
          <w:iCs w:val="false"/>
          <w:color w:val="1A1A1A"/>
          <w:sz w:val="22"/>
          <w:szCs w:val="22"/>
        </w:rPr>
        <w:t xml:space="preserve">There is no single official annual series that cleanly traces every TRS-ActiveCare plan design from 2002 through 2026. Plan designs changed, regional rating began in 2022-23, and legacy plan names were later replaced or restructured. This section separates two issues: the long-run funding story since 2002 and selected premium snapshots for recent North Texas plan years.</w:t>
      </w:r>
    </w:p>
    <w:p>
      <w:pPr>
        <w:spacing w:after="60" w:before="180"/>
      </w:pPr>
      <w:r>
        <w:rPr>
          <w:rFonts w:ascii="Arial" w:cs="Arial" w:eastAsia="Arial" w:hAnsi="Arial"/>
          <w:b/>
          <w:bCs/>
          <w:color w:val="1B2A4A"/>
          <w:sz w:val="22"/>
          <w:szCs w:val="22"/>
        </w:rPr>
        <w:t xml:space="preserve">Funding Story Since 2002</w:t>
      </w:r>
    </w:p>
    <w:p>
      <w:pPr>
        <w:spacing w:after="100" w:before="60"/>
        <w:ind/>
        <w:jc w:val="both"/>
      </w:pPr>
      <w:r>
        <w:rPr>
          <w:rFonts w:ascii="Georgia" w:cs="Georgia" w:eastAsia="Georgia" w:hAnsi="Georgia"/>
          <w:b w:val="false"/>
          <w:bCs w:val="false"/>
          <w:i w:val="false"/>
          <w:iCs w:val="false"/>
          <w:color w:val="1A1A1A"/>
          <w:sz w:val="22"/>
          <w:szCs w:val="22"/>
        </w:rPr>
        <w:t xml:space="preserve">State assistance has remained $75 per month and the district minimum remains $150 per month — neither figure has been adjusted for inflation since the program launched. Legislative testimony and policy analysis repeatedly note that this structure has not risen with medical inflation.</w:t>
      </w:r>
    </w:p>
    <w:p>
      <w:pPr>
        <w:spacing w:after="60" w:before="180"/>
      </w:pPr>
      <w:r>
        <w:rPr>
          <w:rFonts w:ascii="Arial" w:cs="Arial" w:eastAsia="Arial" w:hAnsi="Arial"/>
          <w:b/>
          <w:bCs/>
          <w:color w:val="1B2A4A"/>
          <w:sz w:val="22"/>
          <w:szCs w:val="22"/>
        </w:rPr>
        <w:t xml:space="preserve">Selected Premium Snapshots — Region 10</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2200"/>
        <w:gridCol w:w="2200"/>
        <w:gridCol w:w="1560"/>
      </w:tblGrid>
      <w:tr>
        <w:trPr>
          <w:tblHeader/>
        </w:trPr>
        <w:tc>
          <w:tcPr>
            <w:tcW w:type="dxa" w:w="12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Plan Year</w:t>
            </w:r>
          </w:p>
        </w:tc>
        <w:tc>
          <w:tcPr>
            <w:tcW w:type="dxa" w:w="22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Lowest-Cost Employee-Only</w:t>
            </w:r>
          </w:p>
        </w:tc>
        <w:tc>
          <w:tcPr>
            <w:tcW w:type="dxa" w:w="22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Mid Plan Employee-Only</w:t>
            </w:r>
          </w:p>
        </w:tc>
        <w:tc>
          <w:tcPr>
            <w:tcW w:type="dxa" w:w="22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Highest Plan Employee-Only</w:t>
            </w:r>
          </w:p>
        </w:tc>
        <w:tc>
          <w:tcPr>
            <w:tcW w:type="dxa" w:w="156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Source Note</w:t>
            </w:r>
          </w:p>
        </w:tc>
      </w:tr>
      <w:tr>
        <w:tc>
          <w:tcPr>
            <w:tcW w:type="dxa" w:w="1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Arial" w:cs="Arial" w:eastAsia="Arial" w:hAnsi="Arial"/>
                <w:b/>
                <w:bCs/>
                <w:color w:val="1B2A4A"/>
                <w:sz w:val="19"/>
                <w:szCs w:val="19"/>
              </w:rPr>
              <w:t xml:space="preserve">2018-19</w:t>
            </w:r>
          </w:p>
        </w:tc>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$367</w:t>
            </w:r>
          </w:p>
        </w:tc>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$540</w:t>
            </w:r>
          </w:p>
        </w:tc>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$782</w:t>
            </w:r>
          </w:p>
        </w:tc>
        <w:tc>
          <w:tcPr>
            <w:tcW w:type="dxa" w:w="156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1-HD / Select / 2</w:t>
            </w:r>
          </w:p>
        </w:tc>
      </w:tr>
      <w:tr>
        <w:tc>
          <w:tcPr>
            <w:tcW w:type="dxa" w:w="1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Arial" w:cs="Arial" w:eastAsia="Arial" w:hAnsi="Arial"/>
                <w:b/>
                <w:bCs/>
                <w:color w:val="1B2A4A"/>
                <w:sz w:val="19"/>
                <w:szCs w:val="19"/>
              </w:rPr>
              <w:t xml:space="preserve">2019-20</w:t>
            </w:r>
          </w:p>
        </w:tc>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$378</w:t>
            </w:r>
          </w:p>
        </w:tc>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$556</w:t>
            </w:r>
          </w:p>
        </w:tc>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$852</w:t>
            </w:r>
          </w:p>
        </w:tc>
        <w:tc>
          <w:tcPr>
            <w:tcW w:type="dxa" w:w="156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1-HD / Select / 2</w:t>
            </w:r>
          </w:p>
        </w:tc>
      </w:tr>
      <w:tr>
        <w:tc>
          <w:tcPr>
            <w:tcW w:type="dxa" w:w="1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Arial" w:cs="Arial" w:eastAsia="Arial" w:hAnsi="Arial"/>
                <w:b/>
                <w:bCs/>
                <w:color w:val="1B2A4A"/>
                <w:sz w:val="19"/>
                <w:szCs w:val="19"/>
              </w:rPr>
              <w:t xml:space="preserve">2022-23</w:t>
            </w:r>
          </w:p>
        </w:tc>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$410</w:t>
            </w:r>
          </w:p>
        </w:tc>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$515</w:t>
            </w:r>
          </w:p>
        </w:tc>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$1,013</w:t>
            </w:r>
          </w:p>
        </w:tc>
        <w:tc>
          <w:tcPr>
            <w:tcW w:type="dxa" w:w="156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Primary / Primary+ / 2</w:t>
            </w:r>
          </w:p>
        </w:tc>
      </w:tr>
      <w:tr>
        <w:tc>
          <w:tcPr>
            <w:tcW w:type="dxa" w:w="1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Arial" w:cs="Arial" w:eastAsia="Arial" w:hAnsi="Arial"/>
                <w:b/>
                <w:bCs/>
                <w:color w:val="1B2A4A"/>
                <w:sz w:val="19"/>
                <w:szCs w:val="19"/>
              </w:rPr>
              <w:t xml:space="preserve">2023-24</w:t>
            </w:r>
          </w:p>
        </w:tc>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$450</w:t>
            </w:r>
          </w:p>
        </w:tc>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$529</w:t>
            </w:r>
          </w:p>
        </w:tc>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$1,013</w:t>
            </w:r>
          </w:p>
        </w:tc>
        <w:tc>
          <w:tcPr>
            <w:tcW w:type="dxa" w:w="156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Primary / Primary+ / 2</w:t>
            </w:r>
          </w:p>
        </w:tc>
      </w:tr>
      <w:tr>
        <w:tc>
          <w:tcPr>
            <w:tcW w:type="dxa" w:w="1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Arial" w:cs="Arial" w:eastAsia="Arial" w:hAnsi="Arial"/>
                <w:b/>
                <w:bCs/>
                <w:color w:val="1B2A4A"/>
                <w:sz w:val="19"/>
                <w:szCs w:val="19"/>
              </w:rPr>
              <w:t xml:space="preserve">2024-25</w:t>
            </w:r>
          </w:p>
        </w:tc>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$501</w:t>
            </w:r>
          </w:p>
        </w:tc>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$588</w:t>
            </w:r>
          </w:p>
        </w:tc>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$1,013</w:t>
            </w:r>
          </w:p>
        </w:tc>
        <w:tc>
          <w:tcPr>
            <w:tcW w:type="dxa" w:w="156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Primary / Primary+ / 2</w:t>
            </w:r>
          </w:p>
        </w:tc>
      </w:tr>
      <w:tr>
        <w:tc>
          <w:tcPr>
            <w:tcW w:type="dxa" w:w="1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Arial" w:cs="Arial" w:eastAsia="Arial" w:hAnsi="Arial"/>
                <w:b/>
                <w:bCs/>
                <w:color w:val="1B2A4A"/>
                <w:sz w:val="19"/>
                <w:szCs w:val="19"/>
              </w:rPr>
              <w:t xml:space="preserve">2025-26</w:t>
            </w:r>
          </w:p>
        </w:tc>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$556</w:t>
            </w:r>
          </w:p>
        </w:tc>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$653</w:t>
            </w:r>
          </w:p>
        </w:tc>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Georgia" w:cs="Georgia" w:eastAsia="Georgia" w:hAnsi="Georgia"/>
                <w:b w:val="false"/>
                <w:bCs w:val="false"/>
                <w:color w:val="1A1A1A"/>
                <w:sz w:val="19"/>
                <w:szCs w:val="19"/>
              </w:rPr>
              <w:t xml:space="preserve">$1,013</w:t>
            </w:r>
          </w:p>
        </w:tc>
        <w:tc>
          <w:tcPr>
            <w:tcW w:type="dxa" w:w="156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Primary / Primary+ / 2</w:t>
            </w:r>
          </w:p>
        </w:tc>
      </w:tr>
    </w:tbl>
    <w:p>
      <w:pPr>
        <w:spacing w:after="60" w:before="0"/>
      </w:pPr>
      <w:r>
        <w:t xml:space="preserve"/>
      </w:r>
    </w:p>
    <w:p>
      <w:pPr>
        <w:spacing w:after="80" w:before="40"/>
        <w:ind/>
        <w:jc w:val="both"/>
      </w:pPr>
      <w:r>
        <w:rPr>
          <w:rFonts w:ascii="Georgia" w:cs="Georgia" w:eastAsia="Georgia" w:hAnsi="Georgia"/>
          <w:b w:val="false"/>
          <w:bCs w:val="false"/>
          <w:i/>
          <w:iCs/>
          <w:color w:val="444444"/>
          <w:sz w:val="19"/>
          <w:szCs w:val="19"/>
        </w:rPr>
        <w:t xml:space="preserve">Note: 2018-19 and 2019-20 are legacy statewide plan snapshots from the 2019-20 'What's New' guide. 2022-23 through 2025-26 are Region 10 snapshots using the post-regional-rating plan structure. Lowest-cost employee-only plan rose 51.5% over seven years.</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C0C0" w:sz="1"/>
              <w:left w:val="single" w:color="8B0000" w:sz="18"/>
              <w:bottom w:val="single" w:color="C0C0C0" w:sz="1"/>
              <w:right w:val="single" w:color="C0C0C0" w:sz="1"/>
            </w:tcBorders>
            <w:shd w:fill="FFF5F5" w:val="clear"/>
            <w:tcMar>
              <w:top w:type="dxa" w:w="140"/>
              <w:left w:type="dxa" w:w="240"/>
              <w:bottom w:type="dxa" w:w="140"/>
              <w:right w:type="dxa" w:w="240"/>
            </w:tcMar>
          </w:tcPr>
          <w:p>
            <w:pPr>
              <w:spacing w:after="40" w:before="40"/>
            </w:pPr>
            <w:r>
              <w:rPr>
                <w:rFonts w:ascii="Georgia" w:cs="Georgia" w:eastAsia="Georgia" w:hAnsi="Georgia"/>
                <w:b/>
                <w:bCs/>
                <w:color w:val="1A1A1A"/>
                <w:sz w:val="22"/>
                <w:szCs w:val="22"/>
              </w:rPr>
              <w:t xml:space="preserve">Key Finding: The lowest-cost employee-only plan premium increased 51.5% between 2018-19 and 2025-26 — from $367 to $556 — while the statutory state contribution of $75/month remained unchanged for the entirety of that period.</w:t>
            </w:r>
          </w:p>
        </w:tc>
      </w:tr>
    </w:tbl>
    <w:p>
      <w:pPr>
        <w:spacing w:after="8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TEACHER PREMIUM COST VS. SALARY ANALYSIS</w:t>
      </w:r>
    </w:p>
    <w:p>
      <w:pPr>
        <w:pBdr>
          <w:bottom w:val="single" w:color="D6E0EC" w:sz="2" w:space="1"/>
        </w:pBdr>
        <w:spacing w:after="120" w:before="0"/>
      </w:pPr>
    </w:p>
    <w:p>
      <w:pPr>
        <w:spacing w:after="100" w:before="80"/>
        <w:ind/>
        <w:jc w:val="both"/>
      </w:pPr>
      <w:r>
        <w:rPr>
          <w:rFonts w:ascii="Georgia" w:cs="Georgia" w:eastAsia="Georgia" w:hAnsi="Georgia"/>
          <w:b w:val="false"/>
          <w:bCs w:val="false"/>
          <w:i w:val="false"/>
          <w:iCs w:val="false"/>
          <w:color w:val="1A1A1A"/>
          <w:sz w:val="22"/>
          <w:szCs w:val="22"/>
        </w:rPr>
        <w:t xml:space="preserve">The practical question most educators face is not merely 'what is the plan premium?' but 'how much of my paycheck does it consume?' The following comparison illustrates the salary burden under a minimum-contribution scenario versus a national teacher benchmark.</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1800"/>
        <w:gridCol w:w="1700"/>
        <w:gridCol w:w="2660"/>
      </w:tblGrid>
      <w:tr>
        <w:trPr>
          <w:tblHeader/>
        </w:trPr>
        <w:tc>
          <w:tcPr>
            <w:tcW w:type="dxa" w:w="32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Scenario</w:t>
            </w:r>
          </w:p>
        </w:tc>
        <w:tc>
          <w:tcPr>
            <w:tcW w:type="dxa" w:w="18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Annual Premium Cost</w:t>
            </w:r>
          </w:p>
        </w:tc>
        <w:tc>
          <w:tcPr>
            <w:tcW w:type="dxa" w:w="17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Share of $63,749 TX Salary</w:t>
            </w:r>
          </w:p>
        </w:tc>
        <w:tc>
          <w:tcPr>
            <w:tcW w:type="dxa" w:w="266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Interpretation</w:t>
            </w:r>
          </w:p>
        </w:tc>
      </w:tr>
      <w:tr>
        <w:tc>
          <w:tcPr>
            <w:tcW w:type="dxa" w:w="3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TX Region 10 Primary — Employee Only (minimum statutory contribution only)</w:t>
            </w:r>
          </w:p>
        </w:tc>
        <w:tc>
          <w:tcPr>
            <w:tcW w:type="dxa" w:w="18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Arial" w:cs="Arial" w:eastAsia="Arial" w:hAnsi="Arial"/>
                <w:b/>
                <w:bCs/>
                <w:color w:val="8B0000"/>
                <w:sz w:val="19"/>
                <w:szCs w:val="19"/>
              </w:rPr>
              <w:t xml:space="preserve">$3,972</w:t>
            </w:r>
          </w:p>
        </w:tc>
        <w:tc>
          <w:tcPr>
            <w:tcW w:type="dxa" w:w="17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Arial" w:cs="Arial" w:eastAsia="Arial" w:hAnsi="Arial"/>
                <w:b/>
                <w:bCs/>
                <w:color w:val="8B0000"/>
                <w:sz w:val="19"/>
                <w:szCs w:val="19"/>
              </w:rPr>
              <w:t xml:space="preserve">6.2%</w:t>
            </w:r>
          </w:p>
        </w:tc>
        <w:tc>
          <w:tcPr>
            <w:tcW w:type="dxa" w:w="266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Maximum teacher share if district gives only the statutory minimum contribution.</w:t>
            </w:r>
          </w:p>
        </w:tc>
      </w:tr>
      <w:tr>
        <w:tc>
          <w:tcPr>
            <w:tcW w:type="dxa" w:w="3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National Teacher Benchmark — Single Coverage</w:t>
            </w:r>
          </w:p>
        </w:tc>
        <w:tc>
          <w:tcPr>
            <w:tcW w:type="dxa" w:w="18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Arial" w:cs="Arial" w:eastAsia="Arial" w:hAnsi="Arial"/>
                <w:b/>
                <w:bCs/>
                <w:color w:val="1A1A1A"/>
                <w:sz w:val="19"/>
                <w:szCs w:val="19"/>
              </w:rPr>
              <w:t xml:space="preserve">$1,399</w:t>
            </w:r>
          </w:p>
        </w:tc>
        <w:tc>
          <w:tcPr>
            <w:tcW w:type="dxa" w:w="17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Arial" w:cs="Arial" w:eastAsia="Arial" w:hAnsi="Arial"/>
                <w:b/>
                <w:bCs/>
                <w:color w:val="1A1A1A"/>
                <w:sz w:val="19"/>
                <w:szCs w:val="19"/>
              </w:rPr>
              <w:t xml:space="preserve">2.2%</w:t>
            </w:r>
          </w:p>
        </w:tc>
        <w:tc>
          <w:tcPr>
            <w:tcW w:type="dxa" w:w="266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KFF 2025 total single premium × BLS teacher single-coverage employee share.</w:t>
            </w:r>
          </w:p>
        </w:tc>
      </w:tr>
      <w:tr>
        <w:tc>
          <w:tcPr>
            <w:tcW w:type="dxa" w:w="3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TX Region 10 Primary — Family (minimum statutory contribution only)</w:t>
            </w:r>
          </w:p>
        </w:tc>
        <w:tc>
          <w:tcPr>
            <w:tcW w:type="dxa" w:w="18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Arial" w:cs="Arial" w:eastAsia="Arial" w:hAnsi="Arial"/>
                <w:b/>
                <w:bCs/>
                <w:color w:val="8B0000"/>
                <w:sz w:val="19"/>
                <w:szCs w:val="19"/>
              </w:rPr>
              <w:t xml:space="preserve">$19,992</w:t>
            </w:r>
          </w:p>
        </w:tc>
        <w:tc>
          <w:tcPr>
            <w:tcW w:type="dxa" w:w="17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Arial" w:cs="Arial" w:eastAsia="Arial" w:hAnsi="Arial"/>
                <w:b/>
                <w:bCs/>
                <w:color w:val="8B0000"/>
                <w:sz w:val="19"/>
                <w:szCs w:val="19"/>
              </w:rPr>
              <w:t xml:space="preserve">31.4%</w:t>
            </w:r>
          </w:p>
        </w:tc>
        <w:tc>
          <w:tcPr>
            <w:tcW w:type="dxa" w:w="266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Maximum teacher share if district gives only the statutory minimum contribution.</w:t>
            </w:r>
          </w:p>
        </w:tc>
      </w:tr>
      <w:tr>
        <w:tc>
          <w:tcPr>
            <w:tcW w:type="dxa" w:w="3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National Teacher Benchmark — Family Coverage</w:t>
            </w:r>
          </w:p>
        </w:tc>
        <w:tc>
          <w:tcPr>
            <w:tcW w:type="dxa" w:w="18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Arial" w:cs="Arial" w:eastAsia="Arial" w:hAnsi="Arial"/>
                <w:b/>
                <w:bCs/>
                <w:color w:val="1A1A1A"/>
                <w:sz w:val="19"/>
                <w:szCs w:val="19"/>
              </w:rPr>
              <w:t xml:space="preserve">$9,987</w:t>
            </w:r>
          </w:p>
        </w:tc>
        <w:tc>
          <w:tcPr>
            <w:tcW w:type="dxa" w:w="17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Arial" w:cs="Arial" w:eastAsia="Arial" w:hAnsi="Arial"/>
                <w:b/>
                <w:bCs/>
                <w:color w:val="1A1A1A"/>
                <w:sz w:val="19"/>
                <w:szCs w:val="19"/>
              </w:rPr>
              <w:t xml:space="preserve">15.7%</w:t>
            </w:r>
          </w:p>
        </w:tc>
        <w:tc>
          <w:tcPr>
            <w:tcW w:type="dxa" w:w="266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KFF 2025 family premium × BLS teacher family-coverage employee share.</w:t>
            </w:r>
          </w:p>
        </w:tc>
      </w:tr>
    </w:tbl>
    <w:p>
      <w:pPr>
        <w:spacing w:after="60" w:before="0"/>
      </w:pPr>
      <w:r>
        <w:t xml:space="preserve"/>
      </w:r>
    </w:p>
    <w:p>
      <w:pPr>
        <w:spacing w:after="80" w:before="40"/>
        <w:ind/>
        <w:jc w:val="both"/>
      </w:pPr>
      <w:r>
        <w:rPr>
          <w:rFonts w:ascii="Georgia" w:cs="Georgia" w:eastAsia="Georgia" w:hAnsi="Georgia"/>
          <w:b w:val="false"/>
          <w:bCs w:val="false"/>
          <w:i/>
          <w:iCs/>
          <w:color w:val="444444"/>
          <w:sz w:val="19"/>
          <w:szCs w:val="19"/>
        </w:rPr>
        <w:t xml:space="preserve">Note: This benchmark does not imply that every Texas district charges the statutory-minimum scenario. It illustrates the maximum exposure a teacher faces when local employer contributions are lean. Sources: TRS Region 10 Plan Highlights 2025-26; KFF 2025 Employer Health Benefits Survey; BLS Employee Benefits in the United States, March 2025.</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C0C0" w:sz="1"/>
              <w:left w:val="single" w:color="8B0000" w:sz="18"/>
              <w:bottom w:val="single" w:color="C0C0C0" w:sz="1"/>
              <w:right w:val="single" w:color="C0C0C0" w:sz="1"/>
            </w:tcBorders>
            <w:shd w:fill="FFF5F5" w:val="clear"/>
            <w:tcMar>
              <w:top w:type="dxa" w:w="140"/>
              <w:left w:type="dxa" w:w="240"/>
              <w:bottom w:type="dxa" w:w="140"/>
              <w:right w:type="dxa" w:w="240"/>
            </w:tcMar>
          </w:tcPr>
          <w:p>
            <w:pPr>
              <w:spacing w:after="40" w:before="40"/>
            </w:pPr>
            <w:r>
              <w:rPr>
                <w:rFonts w:ascii="Georgia" w:cs="Georgia" w:eastAsia="Georgia" w:hAnsi="Georgia"/>
                <w:b/>
                <w:bCs/>
                <w:color w:val="1A1A1A"/>
                <w:sz w:val="22"/>
                <w:szCs w:val="22"/>
              </w:rPr>
              <w:t xml:space="preserve">Key Finding: A Texas teacher on a family plan — in a district contributing only the statutory minimum — may pay up to $19,992 per year (31.4% of salary) for health coverage. The national benchmark for comparable family coverage is $9,987 (15.7% of salary) — less than half the Texas maximum exposure.</w:t>
            </w:r>
          </w:p>
        </w:tc>
      </w:tr>
    </w:tbl>
    <w:p>
      <w:pPr>
        <w:spacing w:after="8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TEXAS LEGISLATIVE AND POLICY TIMELINE</w:t>
      </w:r>
    </w:p>
    <w:p>
      <w:pPr>
        <w:pBdr>
          <w:bottom w:val="single" w:color="D6E0EC" w:sz="2" w:space="1"/>
        </w:pBdr>
        <w:spacing w:after="120" w:before="0"/>
      </w:pPr>
    </w:p>
    <w:p>
      <w:pPr>
        <w:spacing w:after="100" w:before="80"/>
        <w:ind/>
        <w:jc w:val="both"/>
      </w:pPr>
      <w:r>
        <w:rPr>
          <w:rFonts w:ascii="Georgia" w:cs="Georgia" w:eastAsia="Georgia" w:hAnsi="Georgia"/>
          <w:b w:val="false"/>
          <w:bCs w:val="false"/>
          <w:i w:val="false"/>
          <w:iCs w:val="false"/>
          <w:color w:val="1A1A1A"/>
          <w:sz w:val="22"/>
          <w:szCs w:val="22"/>
        </w:rPr>
        <w:t xml:space="preserve">The following timeline highlights the key policy events affecting TRS-ActiveCare affordability and structure, providing legislative context for the proposed Texas Educator Benefits Expansion Act.</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2200"/>
        <w:gridCol w:w="3580"/>
        <w:gridCol w:w="2780"/>
      </w:tblGrid>
      <w:tr>
        <w:trPr>
          <w:tblHeader/>
        </w:trPr>
        <w:tc>
          <w:tcPr>
            <w:tcW w:type="dxa" w:w="8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Year</w:t>
            </w:r>
          </w:p>
        </w:tc>
        <w:tc>
          <w:tcPr>
            <w:tcW w:type="dxa" w:w="220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Event</w:t>
            </w:r>
          </w:p>
        </w:tc>
        <w:tc>
          <w:tcPr>
            <w:tcW w:type="dxa" w:w="358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Why It Matters</w:t>
            </w:r>
          </w:p>
        </w:tc>
        <w:tc>
          <w:tcPr>
            <w:tcW w:type="dxa" w:w="2780"/>
            <w:tcBorders>
              <w:top w:val="single" w:color="1B2A4A" w:sz="1"/>
              <w:left w:val="single" w:color="1B2A4A" w:sz="1"/>
              <w:bottom w:val="single" w:color="1B2A4A" w:sz="1"/>
              <w:right w:val="single" w:color="1B2A4A" w:sz="1"/>
            </w:tcBorders>
            <w:shd w:fill="1B2A4A" w:val="clear"/>
            <w:tcMar>
              <w:top w:type="dxa" w:w="100"/>
              <w:left w:type="dxa" w:w="120"/>
              <w:bottom w:type="dxa" w:w="100"/>
              <w:right w:type="dxa" w:w="120"/>
            </w:tcMar>
          </w:tcPr>
          <w:p>
            <w:r>
              <w:rPr>
                <w:rFonts w:ascii="Arial" w:cs="Arial" w:eastAsia="Arial" w:hAnsi="Arial"/>
                <w:b/>
                <w:bCs/>
                <w:color w:val="FFFFFF"/>
                <w:sz w:val="19"/>
                <w:szCs w:val="19"/>
              </w:rPr>
              <w:t xml:space="preserve">Key Source</w:t>
            </w:r>
          </w:p>
        </w:tc>
      </w:tr>
      <w:tr>
        <w:tc>
          <w:tcPr>
            <w:tcW w:type="dxa" w:w="8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Arial" w:cs="Arial" w:eastAsia="Arial" w:hAnsi="Arial"/>
                <w:b/>
                <w:bCs/>
                <w:color w:val="1B2A4A"/>
                <w:sz w:val="19"/>
                <w:szCs w:val="19"/>
              </w:rPr>
              <w:t xml:space="preserve">2001</w:t>
            </w:r>
          </w:p>
        </w:tc>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HB 3343 creates TRS-ActiveCare framework</w:t>
            </w:r>
          </w:p>
        </w:tc>
        <w:tc>
          <w:tcPr>
            <w:tcW w:type="dxa" w:w="35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Establishes the statewide active-school-employee coverage structure administered by TRS.</w:t>
            </w:r>
          </w:p>
        </w:tc>
        <w:tc>
          <w:tcPr>
            <w:tcW w:type="dxa" w:w="27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HB 3343 / House Research Organization</w:t>
            </w:r>
          </w:p>
        </w:tc>
      </w:tr>
      <w:tr>
        <w:tc>
          <w:tcPr>
            <w:tcW w:type="dxa" w:w="8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Arial" w:cs="Arial" w:eastAsia="Arial" w:hAnsi="Arial"/>
                <w:b/>
                <w:bCs/>
                <w:color w:val="1B2A4A"/>
                <w:sz w:val="19"/>
                <w:szCs w:val="19"/>
              </w:rPr>
              <w:t xml:space="preserve">2002</w:t>
            </w:r>
          </w:p>
        </w:tc>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TRS-ActiveCare launches September 1</w:t>
            </w:r>
          </w:p>
        </w:tc>
        <w:tc>
          <w:tcPr>
            <w:tcW w:type="dxa" w:w="35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Marks the start of the statewide active-teacher program.</w:t>
            </w:r>
          </w:p>
        </w:tc>
        <w:tc>
          <w:tcPr>
            <w:tcW w:type="dxa" w:w="27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State Auditor / TRS historical materials</w:t>
            </w:r>
          </w:p>
        </w:tc>
      </w:tr>
      <w:tr>
        <w:tc>
          <w:tcPr>
            <w:tcW w:type="dxa" w:w="8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Arial" w:cs="Arial" w:eastAsia="Arial" w:hAnsi="Arial"/>
                <w:b/>
                <w:bCs/>
                <w:color w:val="1B2A4A"/>
                <w:sz w:val="19"/>
                <w:szCs w:val="19"/>
              </w:rPr>
              <w:t xml:space="preserve">2017</w:t>
            </w:r>
          </w:p>
        </w:tc>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LBB highlights $75 state and $150 district minimum contributions</w:t>
            </w:r>
          </w:p>
        </w:tc>
        <w:tc>
          <w:tcPr>
            <w:tcW w:type="dxa" w:w="35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Confirms that teacher premiums cover the remainder and that the plan is pay-as-you-go.</w:t>
            </w:r>
          </w:p>
        </w:tc>
        <w:tc>
          <w:tcPr>
            <w:tcW w:type="dxa" w:w="27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LBB Overview of TRS</w:t>
            </w:r>
          </w:p>
        </w:tc>
      </w:tr>
      <w:tr>
        <w:tc>
          <w:tcPr>
            <w:tcW w:type="dxa" w:w="8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Arial" w:cs="Arial" w:eastAsia="Arial" w:hAnsi="Arial"/>
                <w:b/>
                <w:bCs/>
                <w:color w:val="1B2A4A"/>
                <w:sz w:val="19"/>
                <w:szCs w:val="19"/>
              </w:rPr>
              <w:t xml:space="preserve">2021</w:t>
            </w:r>
          </w:p>
        </w:tc>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SB 1444 allows entities to join or leave under new rules</w:t>
            </w:r>
          </w:p>
        </w:tc>
        <w:tc>
          <w:tcPr>
            <w:tcW w:type="dxa" w:w="35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TRS warns that without regional pricing, lower-cost districts could leave and destabilize the pool.</w:t>
            </w:r>
          </w:p>
        </w:tc>
        <w:tc>
          <w:tcPr>
            <w:tcW w:type="dxa" w:w="27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TRS legislative summary / regional rating materials</w:t>
            </w:r>
          </w:p>
        </w:tc>
      </w:tr>
      <w:tr>
        <w:tc>
          <w:tcPr>
            <w:tcW w:type="dxa" w:w="8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Arial" w:cs="Arial" w:eastAsia="Arial" w:hAnsi="Arial"/>
                <w:b/>
                <w:bCs/>
                <w:color w:val="1B2A4A"/>
                <w:sz w:val="19"/>
                <w:szCs w:val="19"/>
              </w:rPr>
              <w:t xml:space="preserve">2022-23</w:t>
            </w:r>
          </w:p>
        </w:tc>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TRS implements regional rating</w:t>
            </w:r>
          </w:p>
        </w:tc>
        <w:tc>
          <w:tcPr>
            <w:tcW w:type="dxa" w:w="35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Aligns premiums more closely to local cost of care while preserving pool stability.</w:t>
            </w:r>
          </w:p>
        </w:tc>
        <w:tc>
          <w:tcPr>
            <w:tcW w:type="dxa" w:w="27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TRS regional rating pages / 2023-24 Region 10 guide</w:t>
            </w:r>
          </w:p>
        </w:tc>
      </w:tr>
      <w:tr>
        <w:tc>
          <w:tcPr>
            <w:tcW w:type="dxa" w:w="8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Arial" w:cs="Arial" w:eastAsia="Arial" w:hAnsi="Arial"/>
                <w:b/>
                <w:bCs/>
                <w:color w:val="1B2A4A"/>
                <w:sz w:val="19"/>
                <w:szCs w:val="19"/>
              </w:rPr>
              <w:t xml:space="preserve">2023-24</w:t>
            </w:r>
          </w:p>
        </w:tc>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Region 10 premiums rise from 2022-23 levels</w:t>
            </w:r>
          </w:p>
        </w:tc>
        <w:tc>
          <w:tcPr>
            <w:tcW w:type="dxa" w:w="35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Shows post-regional-rating local cost growth continuing upward.</w:t>
            </w:r>
          </w:p>
        </w:tc>
        <w:tc>
          <w:tcPr>
            <w:tcW w:type="dxa" w:w="27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2023-24 Region 10 plan highlights</w:t>
            </w:r>
          </w:p>
        </w:tc>
      </w:tr>
      <w:tr>
        <w:tc>
          <w:tcPr>
            <w:tcW w:type="dxa" w:w="8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center"/>
            </w:pPr>
            <w:r>
              <w:rPr>
                <w:rFonts w:ascii="Arial" w:cs="Arial" w:eastAsia="Arial" w:hAnsi="Arial"/>
                <w:b/>
                <w:bCs/>
                <w:color w:val="1B2A4A"/>
                <w:sz w:val="19"/>
                <w:szCs w:val="19"/>
              </w:rPr>
              <w:t xml:space="preserve">2025</w:t>
            </w:r>
          </w:p>
        </w:tc>
        <w:tc>
          <w:tcPr>
            <w:tcW w:type="dxa" w:w="220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HB 500: $369M appropriation to moderate premium growth</w:t>
            </w:r>
          </w:p>
        </w:tc>
        <w:tc>
          <w:tcPr>
            <w:tcW w:type="dxa" w:w="35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Confirms that legislative cash support was needed to keep average premium increases below 10% for FY2026-27.</w:t>
            </w:r>
          </w:p>
        </w:tc>
        <w:tc>
          <w:tcPr>
            <w:tcW w:type="dxa" w:w="2780"/>
            <w:tcBorders>
              <w:top w:val="single" w:color="D8D8D8" w:sz="1"/>
              <w:left w:val="single" w:color="D8D8D8" w:sz="1"/>
              <w:bottom w:val="single" w:color="D8D8D8" w:sz="1"/>
              <w:right w:val="single" w:color="D8D8D8" w:sz="1"/>
            </w:tcBorders>
            <w:shd w:fill="EEF2F7"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2025 TRS-related legislation summary</w:t>
            </w:r>
          </w:p>
        </w:tc>
      </w:tr>
      <w:tr>
        <w:tc>
          <w:tcPr>
            <w:tcW w:type="dxa" w:w="8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center"/>
            </w:pPr>
            <w:r>
              <w:rPr>
                <w:rFonts w:ascii="Arial" w:cs="Arial" w:eastAsia="Arial" w:hAnsi="Arial"/>
                <w:b/>
                <w:bCs/>
                <w:color w:val="1B2A4A"/>
                <w:sz w:val="19"/>
                <w:szCs w:val="19"/>
              </w:rPr>
              <w:t xml:space="preserve">2025</w:t>
            </w:r>
          </w:p>
        </w:tc>
        <w:tc>
          <w:tcPr>
            <w:tcW w:type="dxa" w:w="220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HB 3126: allows exited districts to return early</w:t>
            </w:r>
          </w:p>
        </w:tc>
        <w:tc>
          <w:tcPr>
            <w:tcW w:type="dxa" w:w="35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1A1A1A"/>
                <w:sz w:val="19"/>
                <w:szCs w:val="19"/>
              </w:rPr>
              <w:t xml:space="preserve">Signals continued policy concern about market exits and risk-pool stability.</w:t>
            </w:r>
          </w:p>
        </w:tc>
        <w:tc>
          <w:tcPr>
            <w:tcW w:type="dxa" w:w="2780"/>
            <w:tcBorders>
              <w:top w:val="single" w:color="D8D8D8" w:sz="1"/>
              <w:left w:val="single" w:color="D8D8D8" w:sz="1"/>
              <w:bottom w:val="single" w:color="D8D8D8" w:sz="1"/>
              <w:right w:val="single" w:color="D8D8D8" w:sz="1"/>
            </w:tcBorders>
            <w:shd w:fill="FFFFFF" w:val="clear"/>
            <w:tcMar>
              <w:top w:type="dxa" w:w="80"/>
              <w:left w:type="dxa" w:w="120"/>
              <w:bottom w:type="dxa" w:w="80"/>
              <w:right w:type="dxa" w:w="120"/>
            </w:tcMar>
            <w:vAlign w:val="center"/>
          </w:tcPr>
          <w:p>
            <w:pPr>
              <w:jc w:val="left"/>
            </w:pPr>
            <w:r>
              <w:rPr>
                <w:rFonts w:ascii="Georgia" w:cs="Georgia" w:eastAsia="Georgia" w:hAnsi="Georgia"/>
                <w:b w:val="false"/>
                <w:bCs w:val="false"/>
                <w:color w:val="444444"/>
                <w:sz w:val="19"/>
                <w:szCs w:val="19"/>
              </w:rPr>
              <w:t xml:space="preserve">TRS HB 3126 page</w:t>
            </w:r>
          </w:p>
        </w:tc>
      </w:tr>
    </w:tbl>
    <w:p>
      <w:pPr>
        <w:spacing w:after="8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BOTTOM-LINE TAKEAWAYS</w:t>
      </w:r>
    </w:p>
    <w:p>
      <w:pPr>
        <w:pBdr>
          <w:bottom w:val="single" w:color="D6E0EC" w:sz="2" w:space="1"/>
        </w:pBdr>
        <w:spacing w:after="120" w:before="0"/>
      </w:pPr>
    </w:p>
    <w:p>
      <w:pPr>
        <w:spacing w:after="80" w:before="80"/>
        <w:ind/>
        <w:jc w:val="both"/>
      </w:pPr>
      <w:r>
        <w:rPr>
          <w:rFonts w:ascii="Georgia" w:cs="Georgia" w:eastAsia="Georgia" w:hAnsi="Georgia"/>
          <w:b w:val="false"/>
          <w:bCs w:val="false"/>
          <w:i w:val="false"/>
          <w:iCs w:val="false"/>
          <w:color w:val="1A1A1A"/>
          <w:sz w:val="22"/>
          <w:szCs w:val="22"/>
        </w:rPr>
        <w:t xml:space="preserve">The evidence presented in this dossier supports five clear conclusions relevant to the Legislature's consideration of the Texas Educator Benefits Expansion Act:</w:t>
      </w:r>
    </w:p>
    <w:p>
      <w:pPr>
        <w:pStyle w:val="ListParagraph"/>
        <w:numPr>
          <w:ilvl w:val="0"/>
          <w:numId w:val="2"/>
        </w:numPr>
        <w:spacing w:after="60" w:before="40"/>
      </w:pPr>
      <w:r>
        <w:rPr>
          <w:rFonts w:ascii="Georgia" w:cs="Georgia" w:eastAsia="Georgia" w:hAnsi="Georgia"/>
          <w:color w:val="1A1A1A"/>
          <w:sz w:val="22"/>
          <w:szCs w:val="22"/>
        </w:rPr>
        <w:t xml:space="preserve">Texas active-teacher health coverage is anchored to a funding formula — $75 state, $150 district minimum — that has not been adjusted since 2001, while medical costs have risen approximately 5% annually.</w:t>
      </w:r>
    </w:p>
    <w:p>
      <w:pPr>
        <w:pStyle w:val="ListParagraph"/>
        <w:numPr>
          <w:ilvl w:val="0"/>
          <w:numId w:val="2"/>
        </w:numPr>
        <w:spacing w:after="60" w:before="40"/>
      </w:pPr>
      <w:r>
        <w:rPr>
          <w:rFonts w:ascii="Georgia" w:cs="Georgia" w:eastAsia="Georgia" w:hAnsi="Georgia"/>
          <w:color w:val="1A1A1A"/>
          <w:sz w:val="22"/>
          <w:szCs w:val="22"/>
        </w:rPr>
        <w:t xml:space="preserve">For Dallas-area teachers, Region 10 premiums show a steady and significant upward trend, especially for family coverage tiers.</w:t>
      </w:r>
    </w:p>
    <w:p>
      <w:pPr>
        <w:pStyle w:val="ListParagraph"/>
        <w:numPr>
          <w:ilvl w:val="0"/>
          <w:numId w:val="2"/>
        </w:numPr>
        <w:spacing w:after="60" w:before="40"/>
      </w:pPr>
      <w:r>
        <w:rPr>
          <w:rFonts w:ascii="Georgia" w:cs="Georgia" w:eastAsia="Georgia" w:hAnsi="Georgia"/>
          <w:color w:val="1A1A1A"/>
          <w:sz w:val="22"/>
          <w:szCs w:val="22"/>
        </w:rPr>
        <w:t xml:space="preserve">Texas teacher pay remains below the national average, making premium increases hit harder in Texas than in peer states with higher salaries.</w:t>
      </w:r>
    </w:p>
    <w:p>
      <w:pPr>
        <w:pStyle w:val="ListParagraph"/>
        <w:numPr>
          <w:ilvl w:val="0"/>
          <w:numId w:val="2"/>
        </w:numPr>
        <w:spacing w:after="60" w:before="40"/>
      </w:pPr>
      <w:r>
        <w:rPr>
          <w:rFonts w:ascii="Georgia" w:cs="Georgia" w:eastAsia="Georgia" w:hAnsi="Georgia"/>
          <w:color w:val="1A1A1A"/>
          <w:sz w:val="22"/>
          <w:szCs w:val="22"/>
        </w:rPr>
        <w:t xml:space="preserve">Texas' last-place statewide access-and-affordability ranking means healthcare coverage burdens cannot be judged by premiums alone — the broader cost-of-care context compounds the problem.</w:t>
      </w:r>
    </w:p>
    <w:p>
      <w:pPr>
        <w:pStyle w:val="ListParagraph"/>
        <w:numPr>
          <w:ilvl w:val="0"/>
          <w:numId w:val="2"/>
        </w:numPr>
        <w:spacing w:after="60" w:before="40"/>
      </w:pPr>
      <w:r>
        <w:rPr>
          <w:rFonts w:ascii="Georgia" w:cs="Georgia" w:eastAsia="Georgia" w:hAnsi="Georgia"/>
          <w:color w:val="1A1A1A"/>
          <w:sz w:val="22"/>
          <w:szCs w:val="22"/>
        </w:rPr>
        <w:t xml:space="preserve">The Legislature's 2025 supplemental appropriation of $369 million for TRS-ActiveCare is evidence that the system required extraordinary support merely to keep average premium growth under 10 percent — indicating that structural reform is needed, not just recurring emergency funding.</w:t>
      </w:r>
    </w:p>
    <w:p>
      <w:pPr>
        <w:spacing w:after="8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CONNECTION TO THE TEXAS EDUCATOR BENEFITS EXPANSION ACT</w:t>
      </w:r>
    </w:p>
    <w:p>
      <w:pPr>
        <w:pBdr>
          <w:bottom w:val="single" w:color="D6E0EC" w:sz="2" w:space="1"/>
        </w:pBdr>
        <w:spacing w:after="120" w:before="0"/>
      </w:pPr>
    </w:p>
    <w:p>
      <w:pPr>
        <w:spacing w:after="80" w:before="80"/>
        <w:ind/>
        <w:jc w:val="both"/>
      </w:pPr>
      <w:r>
        <w:rPr>
          <w:rFonts w:ascii="Georgia" w:cs="Georgia" w:eastAsia="Georgia" w:hAnsi="Georgia"/>
          <w:b w:val="false"/>
          <w:bCs w:val="false"/>
          <w:i w:val="false"/>
          <w:iCs w:val="false"/>
          <w:color w:val="1A1A1A"/>
          <w:sz w:val="22"/>
          <w:szCs w:val="22"/>
        </w:rPr>
        <w:t xml:space="preserve">The data in this dossier directly supports the legislative case for the Texas Educator Benefits Expansion Act. The evidence establishes:</w:t>
      </w:r>
    </w:p>
    <w:p>
      <w:pPr>
        <w:pStyle w:val="ListParagraph"/>
        <w:numPr>
          <w:ilvl w:val="0"/>
          <w:numId w:val="2"/>
        </w:numPr>
        <w:spacing w:after="60" w:before="40"/>
      </w:pPr>
      <w:r>
        <w:rPr>
          <w:rFonts w:ascii="Georgia" w:cs="Georgia" w:eastAsia="Georgia" w:hAnsi="Georgia"/>
          <w:color w:val="1A1A1A"/>
          <w:sz w:val="22"/>
          <w:szCs w:val="22"/>
        </w:rPr>
        <w:t xml:space="preserve">A clear and documented affordability crisis in active teacher healthcare coverage in Texas.</w:t>
      </w:r>
    </w:p>
    <w:p>
      <w:pPr>
        <w:pStyle w:val="ListParagraph"/>
        <w:numPr>
          <w:ilvl w:val="0"/>
          <w:numId w:val="2"/>
        </w:numPr>
        <w:spacing w:after="60" w:before="40"/>
      </w:pPr>
      <w:r>
        <w:rPr>
          <w:rFonts w:ascii="Georgia" w:cs="Georgia" w:eastAsia="Georgia" w:hAnsi="Georgia"/>
          <w:color w:val="1A1A1A"/>
          <w:sz w:val="22"/>
          <w:szCs w:val="22"/>
        </w:rPr>
        <w:t xml:space="preserve">A national context in which Texas ranks near the bottom on every relevant measure of teacher health benefit quality and affordability.</w:t>
      </w:r>
    </w:p>
    <w:p>
      <w:pPr>
        <w:pStyle w:val="ListParagraph"/>
        <w:numPr>
          <w:ilvl w:val="0"/>
          <w:numId w:val="2"/>
        </w:numPr>
        <w:spacing w:after="60" w:before="40"/>
      </w:pPr>
      <w:r>
        <w:rPr>
          <w:rFonts w:ascii="Georgia" w:cs="Georgia" w:eastAsia="Georgia" w:hAnsi="Georgia"/>
          <w:color w:val="1A1A1A"/>
          <w:sz w:val="22"/>
          <w:szCs w:val="22"/>
        </w:rPr>
        <w:t xml:space="preserve">A historical pattern of inadequate statutory contributions that have not kept pace with rising medical costs for over two decades.</w:t>
      </w:r>
    </w:p>
    <w:p>
      <w:pPr>
        <w:pStyle w:val="ListParagraph"/>
        <w:numPr>
          <w:ilvl w:val="0"/>
          <w:numId w:val="2"/>
        </w:numPr>
        <w:spacing w:after="60" w:before="40"/>
      </w:pPr>
      <w:r>
        <w:rPr>
          <w:rFonts w:ascii="Georgia" w:cs="Georgia" w:eastAsia="Georgia" w:hAnsi="Georgia"/>
          <w:color w:val="1A1A1A"/>
          <w:sz w:val="22"/>
          <w:szCs w:val="22"/>
        </w:rPr>
        <w:t xml:space="preserve">An urgent structural problem that cannot be resolved through recurring supplemental appropriations alone.</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6E0EC" w:sz="1"/>
              <w:left w:val="single" w:color="B8860B" w:sz="14"/>
              <w:bottom w:val="single" w:color="D6E0EC" w:sz="1"/>
              <w:right w:val="single" w:color="D6E0EC" w:sz="1"/>
            </w:tcBorders>
            <w:shd w:fill="EEF2F7" w:val="clear"/>
            <w:tcMar>
              <w:top w:type="dxa" w:w="160"/>
              <w:left w:type="dxa" w:w="240"/>
              <w:bottom w:type="dxa" w:w="160"/>
              <w:right w:type="dxa" w:w="240"/>
            </w:tcMar>
          </w:tcPr>
          <w:p>
            <w:pPr>
              <w:spacing w:after="40" w:before="40"/>
            </w:pPr>
            <w:r>
              <w:rPr>
                <w:rFonts w:ascii="Georgia" w:cs="Georgia" w:eastAsia="Georgia" w:hAnsi="Georgia"/>
                <w:i w:val="false"/>
                <w:iCs w:val="false"/>
                <w:color w:val="1A1A1A"/>
                <w:sz w:val="22"/>
                <w:szCs w:val="22"/>
              </w:rPr>
              <w:t xml:space="preserve">The Texas Educator Benefits Expansion Act does not replace TRS-ActiveCare. It provides school districts with a voluntary, additional option — allowing local boards to evaluate whether participation in the ERS Group Benefits Program would better serve their educators and taxpayers.</w:t>
            </w:r>
          </w:p>
          <w:p>
            <w:pPr>
              <w:spacing w:after="40" w:before="40"/>
            </w:pPr>
            <w:r>
              <w:rPr>
                <w:rFonts w:ascii="Georgia" w:cs="Georgia" w:eastAsia="Georgia" w:hAnsi="Georgia"/>
                <w:i w:val="false"/>
                <w:iCs w:val="false"/>
                <w:color w:val="1A1A1A"/>
                <w:sz w:val="22"/>
                <w:szCs w:val="22"/>
              </w:rPr>
              <w:t xml:space="preserve"/>
            </w:r>
          </w:p>
          <w:p>
            <w:pPr>
              <w:spacing w:after="40" w:before="40"/>
            </w:pPr>
            <w:r>
              <w:rPr>
                <w:rFonts w:ascii="Georgia" w:cs="Georgia" w:eastAsia="Georgia" w:hAnsi="Georgia"/>
                <w:i w:val="false"/>
                <w:iCs w:val="false"/>
                <w:color w:val="1A1A1A"/>
                <w:sz w:val="22"/>
                <w:szCs w:val="22"/>
              </w:rPr>
              <w:t xml:space="preserve">This dossier documents why that additional option is needed and why the Legislature should authorize it.</w:t>
            </w:r>
          </w:p>
        </w:tc>
      </w:tr>
    </w:tbl>
    <w:p>
      <w:pPr>
        <w:spacing w:after="8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SOURCES INDEX</w:t>
      </w:r>
    </w:p>
    <w:p>
      <w:pPr>
        <w:pBdr>
          <w:bottom w:val="single" w:color="D6E0EC" w:sz="2" w:space="1"/>
        </w:pBdr>
        <w:spacing w:after="120" w:before="0"/>
      </w:pPr>
    </w:p>
    <w:p>
      <w:pPr>
        <w:spacing w:after="40" w:before="0"/>
      </w:pPr>
      <w:r>
        <w:t xml:space="preserve"/>
      </w:r>
    </w:p>
    <w:p>
      <w:pPr>
        <w:spacing w:after="60" w:before="60"/>
      </w:pPr>
      <w:r>
        <w:rPr>
          <w:rFonts w:ascii="Arial" w:cs="Arial" w:eastAsia="Arial" w:hAnsi="Arial"/>
          <w:b/>
          <w:bCs/>
          <w:color w:val="1B2A4A"/>
          <w:sz w:val="21"/>
          <w:szCs w:val="21"/>
        </w:rPr>
        <w:t xml:space="preserve">[1]  </w:t>
      </w:r>
      <w:r>
        <w:rPr>
          <w:rFonts w:ascii="Georgia" w:cs="Georgia" w:eastAsia="Georgia" w:hAnsi="Georgia"/>
          <w:b w:val="false"/>
          <w:bCs w:val="false"/>
          <w:color w:val="1A1A1A"/>
          <w:sz w:val="21"/>
          <w:szCs w:val="21"/>
        </w:rPr>
        <w:t xml:space="preserve">Contributions to TRS-ActiveCare (TRS) — </w:t>
      </w:r>
      <w:r>
        <w:rPr>
          <w:rFonts w:ascii="Georgia" w:cs="Georgia" w:eastAsia="Georgia" w:hAnsi="Georgia"/>
          <w:i/>
          <w:iCs/>
          <w:color w:val="444444"/>
          <w:sz w:val="21"/>
          <w:szCs w:val="21"/>
        </w:rPr>
        <w:t xml:space="preserve">Official explanation of the $75 state and $150 employer minimum contributions.</w:t>
      </w:r>
    </w:p>
    <w:p>
      <w:pPr>
        <w:spacing w:after="60" w:before="60"/>
      </w:pPr>
      <w:r>
        <w:rPr>
          <w:rFonts w:ascii="Arial" w:cs="Arial" w:eastAsia="Arial" w:hAnsi="Arial"/>
          <w:b/>
          <w:bCs/>
          <w:color w:val="1B2A4A"/>
          <w:sz w:val="21"/>
          <w:szCs w:val="21"/>
        </w:rPr>
        <w:t xml:space="preserve">[2]  </w:t>
      </w:r>
      <w:r>
        <w:rPr>
          <w:rFonts w:ascii="Georgia" w:cs="Georgia" w:eastAsia="Georgia" w:hAnsi="Georgia"/>
          <w:b w:val="false"/>
          <w:bCs w:val="false"/>
          <w:color w:val="1A1A1A"/>
          <w:sz w:val="21"/>
          <w:szCs w:val="21"/>
        </w:rPr>
        <w:t xml:space="preserve">Texas 2036, "Rising Health Care Prices Put Teachers and Lawmakers in a Tough Situation" — </w:t>
      </w:r>
      <w:r>
        <w:rPr>
          <w:rFonts w:ascii="Georgia" w:cs="Georgia" w:eastAsia="Georgia" w:hAnsi="Georgia"/>
          <w:i/>
          <w:iCs/>
          <w:color w:val="444444"/>
          <w:sz w:val="21"/>
          <w:szCs w:val="21"/>
        </w:rPr>
        <w:t xml:space="preserve">Policy overview explaining that the 2001-era contribution once covered the full employee-only cost.</w:t>
      </w:r>
    </w:p>
    <w:p>
      <w:pPr>
        <w:spacing w:after="60" w:before="60"/>
      </w:pPr>
      <w:r>
        <w:rPr>
          <w:rFonts w:ascii="Arial" w:cs="Arial" w:eastAsia="Arial" w:hAnsi="Arial"/>
          <w:b/>
          <w:bCs/>
          <w:color w:val="1B2A4A"/>
          <w:sz w:val="21"/>
          <w:szCs w:val="21"/>
        </w:rPr>
        <w:t xml:space="preserve">[3]  </w:t>
      </w:r>
      <w:r>
        <w:rPr>
          <w:rFonts w:ascii="Georgia" w:cs="Georgia" w:eastAsia="Georgia" w:hAnsi="Georgia"/>
          <w:b w:val="false"/>
          <w:bCs w:val="false"/>
          <w:color w:val="1A1A1A"/>
          <w:sz w:val="21"/>
          <w:szCs w:val="21"/>
        </w:rPr>
        <w:t xml:space="preserve">TRS Region 10 Plan Highlights 2023-24 — </w:t>
      </w:r>
      <w:r>
        <w:rPr>
          <w:rFonts w:ascii="Georgia" w:cs="Georgia" w:eastAsia="Georgia" w:hAnsi="Georgia"/>
          <w:i/>
          <w:iCs/>
          <w:color w:val="444444"/>
          <w:sz w:val="21"/>
          <w:szCs w:val="21"/>
        </w:rPr>
        <w:t xml:space="preserve">Shows 2022-23 to 2023-24 premium changes for Region 10.</w:t>
      </w:r>
    </w:p>
    <w:p>
      <w:pPr>
        <w:spacing w:after="60" w:before="60"/>
      </w:pPr>
      <w:r>
        <w:rPr>
          <w:rFonts w:ascii="Arial" w:cs="Arial" w:eastAsia="Arial" w:hAnsi="Arial"/>
          <w:b/>
          <w:bCs/>
          <w:color w:val="1B2A4A"/>
          <w:sz w:val="21"/>
          <w:szCs w:val="21"/>
        </w:rPr>
        <w:t xml:space="preserve">[4]  </w:t>
      </w:r>
      <w:r>
        <w:rPr>
          <w:rFonts w:ascii="Georgia" w:cs="Georgia" w:eastAsia="Georgia" w:hAnsi="Georgia"/>
          <w:b w:val="false"/>
          <w:bCs w:val="false"/>
          <w:color w:val="1A1A1A"/>
          <w:sz w:val="21"/>
          <w:szCs w:val="21"/>
        </w:rPr>
        <w:t xml:space="preserve">TRS Region 10 Plan Highlights 2024-25 — </w:t>
      </w:r>
      <w:r>
        <w:rPr>
          <w:rFonts w:ascii="Georgia" w:cs="Georgia" w:eastAsia="Georgia" w:hAnsi="Georgia"/>
          <w:i/>
          <w:iCs/>
          <w:color w:val="444444"/>
          <w:sz w:val="21"/>
          <w:szCs w:val="21"/>
        </w:rPr>
        <w:t xml:space="preserve">Provides current local premiums for the 2024-25 plan year.</w:t>
      </w:r>
    </w:p>
    <w:p>
      <w:pPr>
        <w:spacing w:after="60" w:before="60"/>
      </w:pPr>
      <w:r>
        <w:rPr>
          <w:rFonts w:ascii="Arial" w:cs="Arial" w:eastAsia="Arial" w:hAnsi="Arial"/>
          <w:b/>
          <w:bCs/>
          <w:color w:val="1B2A4A"/>
          <w:sz w:val="21"/>
          <w:szCs w:val="21"/>
        </w:rPr>
        <w:t xml:space="preserve">[5]  </w:t>
      </w:r>
      <w:r>
        <w:rPr>
          <w:rFonts w:ascii="Georgia" w:cs="Georgia" w:eastAsia="Georgia" w:hAnsi="Georgia"/>
          <w:b w:val="false"/>
          <w:bCs w:val="false"/>
          <w:color w:val="1A1A1A"/>
          <w:sz w:val="21"/>
          <w:szCs w:val="21"/>
        </w:rPr>
        <w:t xml:space="preserve">TRS Region 10 Plan Highlights 2025-26 — </w:t>
      </w:r>
      <w:r>
        <w:rPr>
          <w:rFonts w:ascii="Georgia" w:cs="Georgia" w:eastAsia="Georgia" w:hAnsi="Georgia"/>
          <w:i/>
          <w:iCs/>
          <w:color w:val="444444"/>
          <w:sz w:val="21"/>
          <w:szCs w:val="21"/>
        </w:rPr>
        <w:t xml:space="preserve">Provides current local premiums for the 2025-26 plan year.</w:t>
      </w:r>
    </w:p>
    <w:p>
      <w:pPr>
        <w:spacing w:after="60" w:before="60"/>
      </w:pPr>
      <w:r>
        <w:rPr>
          <w:rFonts w:ascii="Arial" w:cs="Arial" w:eastAsia="Arial" w:hAnsi="Arial"/>
          <w:b/>
          <w:bCs/>
          <w:color w:val="1B2A4A"/>
          <w:sz w:val="21"/>
          <w:szCs w:val="21"/>
        </w:rPr>
        <w:t xml:space="preserve">[6]  </w:t>
      </w:r>
      <w:r>
        <w:rPr>
          <w:rFonts w:ascii="Georgia" w:cs="Georgia" w:eastAsia="Georgia" w:hAnsi="Georgia"/>
          <w:b w:val="false"/>
          <w:bCs w:val="false"/>
          <w:color w:val="1A1A1A"/>
          <w:sz w:val="21"/>
          <w:szCs w:val="21"/>
        </w:rPr>
        <w:t xml:space="preserve">NEA Rankings &amp; Estimates 2025 — </w:t>
      </w:r>
      <w:r>
        <w:rPr>
          <w:rFonts w:ascii="Georgia" w:cs="Georgia" w:eastAsia="Georgia" w:hAnsi="Georgia"/>
          <w:i/>
          <w:iCs/>
          <w:color w:val="444444"/>
          <w:sz w:val="21"/>
          <w:szCs w:val="21"/>
        </w:rPr>
        <w:t xml:space="preserve">State-by-state average teacher salaries and national average salary estimates.</w:t>
      </w:r>
    </w:p>
    <w:p>
      <w:pPr>
        <w:spacing w:after="60" w:before="60"/>
      </w:pPr>
      <w:r>
        <w:rPr>
          <w:rFonts w:ascii="Arial" w:cs="Arial" w:eastAsia="Arial" w:hAnsi="Arial"/>
          <w:b/>
          <w:bCs/>
          <w:color w:val="1B2A4A"/>
          <w:sz w:val="21"/>
          <w:szCs w:val="21"/>
        </w:rPr>
        <w:t xml:space="preserve">[7]  </w:t>
      </w:r>
      <w:r>
        <w:rPr>
          <w:rFonts w:ascii="Georgia" w:cs="Georgia" w:eastAsia="Georgia" w:hAnsi="Georgia"/>
          <w:b w:val="false"/>
          <w:bCs w:val="false"/>
          <w:color w:val="1A1A1A"/>
          <w:sz w:val="21"/>
          <w:szCs w:val="21"/>
        </w:rPr>
        <w:t xml:space="preserve">Commonwealth Fund 2025 Scorecard on State Health System Performance — </w:t>
      </w:r>
      <w:r>
        <w:rPr>
          <w:rFonts w:ascii="Georgia" w:cs="Georgia" w:eastAsia="Georgia" w:hAnsi="Georgia"/>
          <w:i/>
          <w:iCs/>
          <w:color w:val="444444"/>
          <w:sz w:val="21"/>
          <w:szCs w:val="21"/>
        </w:rPr>
        <w:t xml:space="preserve">State overall and access-and-affordability ranks.</w:t>
      </w:r>
    </w:p>
    <w:p>
      <w:pPr>
        <w:spacing w:after="60" w:before="60"/>
      </w:pPr>
      <w:r>
        <w:rPr>
          <w:rFonts w:ascii="Arial" w:cs="Arial" w:eastAsia="Arial" w:hAnsi="Arial"/>
          <w:b/>
          <w:bCs/>
          <w:color w:val="1B2A4A"/>
          <w:sz w:val="21"/>
          <w:szCs w:val="21"/>
        </w:rPr>
        <w:t xml:space="preserve">[8]  </w:t>
      </w:r>
      <w:r>
        <w:rPr>
          <w:rFonts w:ascii="Georgia" w:cs="Georgia" w:eastAsia="Georgia" w:hAnsi="Georgia"/>
          <w:b w:val="false"/>
          <w:bCs w:val="false"/>
          <w:color w:val="1A1A1A"/>
          <w:sz w:val="21"/>
          <w:szCs w:val="21"/>
        </w:rPr>
        <w:t xml:space="preserve">Texas HB 3343 bill history (77th Legislature) — </w:t>
      </w:r>
      <w:r>
        <w:rPr>
          <w:rFonts w:ascii="Georgia" w:cs="Georgia" w:eastAsia="Georgia" w:hAnsi="Georgia"/>
          <w:i/>
          <w:iCs/>
          <w:color w:val="444444"/>
          <w:sz w:val="21"/>
          <w:szCs w:val="21"/>
        </w:rPr>
        <w:t xml:space="preserve">Creation history for TRS-ActiveCare framework.</w:t>
      </w:r>
    </w:p>
    <w:p>
      <w:pPr>
        <w:spacing w:after="60" w:before="60"/>
      </w:pPr>
      <w:r>
        <w:rPr>
          <w:rFonts w:ascii="Arial" w:cs="Arial" w:eastAsia="Arial" w:hAnsi="Arial"/>
          <w:b/>
          <w:bCs/>
          <w:color w:val="1B2A4A"/>
          <w:sz w:val="21"/>
          <w:szCs w:val="21"/>
        </w:rPr>
        <w:t xml:space="preserve">[9]  </w:t>
      </w:r>
      <w:r>
        <w:rPr>
          <w:rFonts w:ascii="Georgia" w:cs="Georgia" w:eastAsia="Georgia" w:hAnsi="Georgia"/>
          <w:b w:val="false"/>
          <w:bCs w:val="false"/>
          <w:color w:val="1A1A1A"/>
          <w:sz w:val="21"/>
          <w:szCs w:val="21"/>
        </w:rPr>
        <w:t xml:space="preserve">State Auditor historical report on TRS-ActiveCare launch — </w:t>
      </w:r>
      <w:r>
        <w:rPr>
          <w:rFonts w:ascii="Georgia" w:cs="Georgia" w:eastAsia="Georgia" w:hAnsi="Georgia"/>
          <w:i/>
          <w:iCs/>
          <w:color w:val="444444"/>
          <w:sz w:val="21"/>
          <w:szCs w:val="21"/>
        </w:rPr>
        <w:t xml:space="preserve">Confirms launch of TRS-ActiveCare on September 1, 2002.</w:t>
      </w:r>
    </w:p>
    <w:p>
      <w:pPr>
        <w:spacing w:after="60" w:before="60"/>
      </w:pPr>
      <w:r>
        <w:rPr>
          <w:rFonts w:ascii="Arial" w:cs="Arial" w:eastAsia="Arial" w:hAnsi="Arial"/>
          <w:b/>
          <w:bCs/>
          <w:color w:val="1B2A4A"/>
          <w:sz w:val="21"/>
          <w:szCs w:val="21"/>
        </w:rPr>
        <w:t xml:space="preserve">[10]  </w:t>
      </w:r>
      <w:r>
        <w:rPr>
          <w:rFonts w:ascii="Georgia" w:cs="Georgia" w:eastAsia="Georgia" w:hAnsi="Georgia"/>
          <w:b w:val="false"/>
          <w:bCs w:val="false"/>
          <w:color w:val="1A1A1A"/>
          <w:sz w:val="21"/>
          <w:szCs w:val="21"/>
        </w:rPr>
        <w:t xml:space="preserve">LBB Overview of TRS (2017) — </w:t>
      </w:r>
      <w:r>
        <w:rPr>
          <w:rFonts w:ascii="Georgia" w:cs="Georgia" w:eastAsia="Georgia" w:hAnsi="Georgia"/>
          <w:i/>
          <w:iCs/>
          <w:color w:val="444444"/>
          <w:sz w:val="21"/>
          <w:szCs w:val="21"/>
        </w:rPr>
        <w:t xml:space="preserve">Legislative summary of funding structure and pay-as-you-go features.</w:t>
      </w:r>
    </w:p>
    <w:p>
      <w:pPr>
        <w:spacing w:after="60" w:before="60"/>
      </w:pPr>
      <w:r>
        <w:rPr>
          <w:rFonts w:ascii="Arial" w:cs="Arial" w:eastAsia="Arial" w:hAnsi="Arial"/>
          <w:b/>
          <w:bCs/>
          <w:color w:val="1B2A4A"/>
          <w:sz w:val="21"/>
          <w:szCs w:val="21"/>
        </w:rPr>
        <w:t xml:space="preserve">[11]  </w:t>
      </w:r>
      <w:r>
        <w:rPr>
          <w:rFonts w:ascii="Georgia" w:cs="Georgia" w:eastAsia="Georgia" w:hAnsi="Georgia"/>
          <w:b w:val="false"/>
          <w:bCs w:val="false"/>
          <w:color w:val="1A1A1A"/>
          <w:sz w:val="21"/>
          <w:szCs w:val="21"/>
        </w:rPr>
        <w:t xml:space="preserve">TRS Alternative Benefits Study (2022) — </w:t>
      </w:r>
      <w:r>
        <w:rPr>
          <w:rFonts w:ascii="Georgia" w:cs="Georgia" w:eastAsia="Georgia" w:hAnsi="Georgia"/>
          <w:i/>
          <w:iCs/>
          <w:color w:val="444444"/>
          <w:sz w:val="21"/>
          <w:szCs w:val="21"/>
        </w:rPr>
        <w:t xml:space="preserve">States that healthcare costs rose about 5% annually over 20 years while funding stayed largely unchanged.</w:t>
      </w:r>
    </w:p>
    <w:p>
      <w:pPr>
        <w:spacing w:after="60" w:before="60"/>
      </w:pPr>
      <w:r>
        <w:rPr>
          <w:rFonts w:ascii="Arial" w:cs="Arial" w:eastAsia="Arial" w:hAnsi="Arial"/>
          <w:b/>
          <w:bCs/>
          <w:color w:val="1B2A4A"/>
          <w:sz w:val="21"/>
          <w:szCs w:val="21"/>
        </w:rPr>
        <w:t xml:space="preserve">[12]  </w:t>
      </w:r>
      <w:r>
        <w:rPr>
          <w:rFonts w:ascii="Georgia" w:cs="Georgia" w:eastAsia="Georgia" w:hAnsi="Georgia"/>
          <w:b w:val="false"/>
          <w:bCs w:val="false"/>
          <w:color w:val="1A1A1A"/>
          <w:sz w:val="21"/>
          <w:szCs w:val="21"/>
        </w:rPr>
        <w:t xml:space="preserve">TRS-ActiveCare 2019-20 What's New &amp; What's Changing — </w:t>
      </w:r>
      <w:r>
        <w:rPr>
          <w:rFonts w:ascii="Georgia" w:cs="Georgia" w:eastAsia="Georgia" w:hAnsi="Georgia"/>
          <w:i/>
          <w:iCs/>
          <w:color w:val="444444"/>
          <w:sz w:val="21"/>
          <w:szCs w:val="21"/>
        </w:rPr>
        <w:t xml:space="preserve">Legacy statewide premium snapshot for 2018-19 and 2019-20.</w:t>
      </w:r>
    </w:p>
    <w:p>
      <w:pPr>
        <w:spacing w:after="60" w:before="60"/>
      </w:pPr>
      <w:r>
        <w:rPr>
          <w:rFonts w:ascii="Arial" w:cs="Arial" w:eastAsia="Arial" w:hAnsi="Arial"/>
          <w:b/>
          <w:bCs/>
          <w:color w:val="1B2A4A"/>
          <w:sz w:val="21"/>
          <w:szCs w:val="21"/>
        </w:rPr>
        <w:t xml:space="preserve">[13]  </w:t>
      </w:r>
      <w:r>
        <w:rPr>
          <w:rFonts w:ascii="Georgia" w:cs="Georgia" w:eastAsia="Georgia" w:hAnsi="Georgia"/>
          <w:b w:val="false"/>
          <w:bCs w:val="false"/>
          <w:color w:val="1A1A1A"/>
          <w:sz w:val="21"/>
          <w:szCs w:val="21"/>
        </w:rPr>
        <w:t xml:space="preserve">KFF 2025 Employer Health Benefits Survey — </w:t>
      </w:r>
      <w:r>
        <w:rPr>
          <w:rFonts w:ascii="Georgia" w:cs="Georgia" w:eastAsia="Georgia" w:hAnsi="Georgia"/>
          <w:i/>
          <w:iCs/>
          <w:color w:val="444444"/>
          <w:sz w:val="21"/>
          <w:szCs w:val="21"/>
        </w:rPr>
        <w:t xml:space="preserve">National premium totals and worker contribution benchmarks.</w:t>
      </w:r>
    </w:p>
    <w:p>
      <w:pPr>
        <w:spacing w:after="60" w:before="60"/>
      </w:pPr>
      <w:r>
        <w:rPr>
          <w:rFonts w:ascii="Arial" w:cs="Arial" w:eastAsia="Arial" w:hAnsi="Arial"/>
          <w:b/>
          <w:bCs/>
          <w:color w:val="1B2A4A"/>
          <w:sz w:val="21"/>
          <w:szCs w:val="21"/>
        </w:rPr>
        <w:t xml:space="preserve">[14]  </w:t>
      </w:r>
      <w:r>
        <w:rPr>
          <w:rFonts w:ascii="Georgia" w:cs="Georgia" w:eastAsia="Georgia" w:hAnsi="Georgia"/>
          <w:b w:val="false"/>
          <w:bCs w:val="false"/>
          <w:color w:val="1A1A1A"/>
          <w:sz w:val="21"/>
          <w:szCs w:val="21"/>
        </w:rPr>
        <w:t xml:space="preserve">BLS Employee Benefits in the United States, March 2025 — </w:t>
      </w:r>
      <w:r>
        <w:rPr>
          <w:rFonts w:ascii="Georgia" w:cs="Georgia" w:eastAsia="Georgia" w:hAnsi="Georgia"/>
          <w:i/>
          <w:iCs/>
          <w:color w:val="444444"/>
          <w:sz w:val="21"/>
          <w:szCs w:val="21"/>
        </w:rPr>
        <w:t xml:space="preserve">Teacher occupation premium-share estimates for single and family coverage.</w:t>
      </w:r>
    </w:p>
    <w:p>
      <w:pPr>
        <w:spacing w:after="60" w:before="60"/>
      </w:pPr>
      <w:r>
        <w:rPr>
          <w:rFonts w:ascii="Arial" w:cs="Arial" w:eastAsia="Arial" w:hAnsi="Arial"/>
          <w:b/>
          <w:bCs/>
          <w:color w:val="1B2A4A"/>
          <w:sz w:val="21"/>
          <w:szCs w:val="21"/>
        </w:rPr>
        <w:t xml:space="preserve">[15]  </w:t>
      </w:r>
      <w:r>
        <w:rPr>
          <w:rFonts w:ascii="Georgia" w:cs="Georgia" w:eastAsia="Georgia" w:hAnsi="Georgia"/>
          <w:b w:val="false"/>
          <w:bCs w:val="false"/>
          <w:color w:val="1A1A1A"/>
          <w:sz w:val="21"/>
          <w:szCs w:val="21"/>
        </w:rPr>
        <w:t xml:space="preserve">2025 TRS-Related Legislation Summary — </w:t>
      </w:r>
      <w:r>
        <w:rPr>
          <w:rFonts w:ascii="Georgia" w:cs="Georgia" w:eastAsia="Georgia" w:hAnsi="Georgia"/>
          <w:i/>
          <w:iCs/>
          <w:color w:val="444444"/>
          <w:sz w:val="21"/>
          <w:szCs w:val="21"/>
        </w:rPr>
        <w:t xml:space="preserve">Documents the $369 million ActiveCare appropriation in HB 500.</w:t>
      </w:r>
    </w:p>
    <w:p>
      <w:pPr>
        <w:spacing w:after="60" w:before="60"/>
      </w:pPr>
      <w:r>
        <w:rPr>
          <w:rFonts w:ascii="Arial" w:cs="Arial" w:eastAsia="Arial" w:hAnsi="Arial"/>
          <w:b/>
          <w:bCs/>
          <w:color w:val="1B2A4A"/>
          <w:sz w:val="21"/>
          <w:szCs w:val="21"/>
        </w:rPr>
        <w:t xml:space="preserve">[16]  </w:t>
      </w:r>
      <w:r>
        <w:rPr>
          <w:rFonts w:ascii="Georgia" w:cs="Georgia" w:eastAsia="Georgia" w:hAnsi="Georgia"/>
          <w:b w:val="false"/>
          <w:bCs w:val="false"/>
          <w:color w:val="1A1A1A"/>
          <w:sz w:val="21"/>
          <w:szCs w:val="21"/>
        </w:rPr>
        <w:t xml:space="preserve">TRS legislative / regional rating pages on SB 1444 and HB 3126 — </w:t>
      </w:r>
      <w:r>
        <w:rPr>
          <w:rFonts w:ascii="Georgia" w:cs="Georgia" w:eastAsia="Georgia" w:hAnsi="Georgia"/>
          <w:i/>
          <w:iCs/>
          <w:color w:val="444444"/>
          <w:sz w:val="21"/>
          <w:szCs w:val="21"/>
        </w:rPr>
        <w:t xml:space="preserve">Documents regional rating, join/leave rules, and early re-entry option.</w:t>
      </w:r>
    </w:p>
    <w:p>
      <w:pPr>
        <w:spacing w:after="80" w:before="0"/>
      </w:pPr>
      <w:r>
        <w:t xml:space="preserve"/>
      </w:r>
    </w:p>
    <w:p>
      <w:pPr>
        <w:pBdr>
          <w:left w:val="single" w:color="B8860B" w:sz="18" w:space="8"/>
        </w:pBdr>
        <w:spacing w:after="0" w:before="280"/>
      </w:pPr>
      <w:r>
        <w:rPr>
          <w:rFonts w:ascii="Arial" w:cs="Arial" w:eastAsia="Arial" w:hAnsi="Arial"/>
          <w:b/>
          <w:bCs/>
          <w:color w:val="1B2A4A"/>
          <w:sz w:val="26"/>
          <w:szCs w:val="26"/>
        </w:rPr>
        <w:t xml:space="preserve">BIBLIOGRAPHY</w:t>
      </w:r>
    </w:p>
    <w:p>
      <w:pPr>
        <w:pBdr>
          <w:bottom w:val="single" w:color="D6E0EC" w:sz="2" w:space="1"/>
        </w:pBdr>
        <w:spacing w:after="120" w:before="0"/>
      </w:pPr>
    </w:p>
    <w:p>
      <w:pPr>
        <w:spacing w:after="60" w:before="60"/>
        <w:ind w:left="480" w:hanging="480"/>
      </w:pPr>
      <w:r>
        <w:rPr>
          <w:rFonts w:ascii="Georgia" w:cs="Georgia" w:eastAsia="Georgia" w:hAnsi="Georgia"/>
          <w:color w:val="1A1A1A"/>
          <w:sz w:val="21"/>
          <w:szCs w:val="21"/>
        </w:rPr>
        <w:t xml:space="preserve">Commonwealth Fund. 2025. 2025 Scorecard on State Health System Performance: Appendices. June 2025.</w:t>
      </w:r>
    </w:p>
    <w:p>
      <w:pPr>
        <w:spacing w:after="60" w:before="60"/>
        <w:ind w:left="480" w:hanging="480"/>
      </w:pPr>
      <w:r>
        <w:rPr>
          <w:rFonts w:ascii="Georgia" w:cs="Georgia" w:eastAsia="Georgia" w:hAnsi="Georgia"/>
          <w:color w:val="1A1A1A"/>
          <w:sz w:val="21"/>
          <w:szCs w:val="21"/>
        </w:rPr>
        <w:t xml:space="preserve">KFF. 2025. 2025 Employer Health Benefits Survey. October 22, 2025.</w:t>
      </w:r>
    </w:p>
    <w:p>
      <w:pPr>
        <w:spacing w:after="60" w:before="60"/>
        <w:ind w:left="480" w:hanging="480"/>
      </w:pPr>
      <w:r>
        <w:rPr>
          <w:rFonts w:ascii="Georgia" w:cs="Georgia" w:eastAsia="Georgia" w:hAnsi="Georgia"/>
          <w:color w:val="1A1A1A"/>
          <w:sz w:val="21"/>
          <w:szCs w:val="21"/>
        </w:rPr>
        <w:t xml:space="preserve">National Education Association. 2025. Rankings of the States 2024 and Estimates of School Statistics 2025. April 2025.</w:t>
      </w:r>
    </w:p>
    <w:p>
      <w:pPr>
        <w:spacing w:after="60" w:before="60"/>
        <w:ind w:left="480" w:hanging="480"/>
      </w:pPr>
      <w:r>
        <w:rPr>
          <w:rFonts w:ascii="Georgia" w:cs="Georgia" w:eastAsia="Georgia" w:hAnsi="Georgia"/>
          <w:color w:val="1A1A1A"/>
          <w:sz w:val="21"/>
          <w:szCs w:val="21"/>
        </w:rPr>
        <w:t xml:space="preserve">Texas 2036. 2023. "Rising Health Care Prices Put Teachers and Lawmakers in a Tough Situation." March 10, 2023.</w:t>
      </w:r>
    </w:p>
    <w:p>
      <w:pPr>
        <w:spacing w:after="60" w:before="60"/>
        <w:ind w:left="480" w:hanging="480"/>
      </w:pPr>
      <w:r>
        <w:rPr>
          <w:rFonts w:ascii="Georgia" w:cs="Georgia" w:eastAsia="Georgia" w:hAnsi="Georgia"/>
          <w:color w:val="1A1A1A"/>
          <w:sz w:val="21"/>
          <w:szCs w:val="21"/>
        </w:rPr>
        <w:t xml:space="preserve">Texas Legislative Budget Board. 2017. Overview of the Teacher Retirement System. February 13, 2017.</w:t>
      </w:r>
    </w:p>
    <w:p>
      <w:pPr>
        <w:spacing w:after="60" w:before="60"/>
        <w:ind w:left="480" w:hanging="480"/>
      </w:pPr>
      <w:r>
        <w:rPr>
          <w:rFonts w:ascii="Georgia" w:cs="Georgia" w:eastAsia="Georgia" w:hAnsi="Georgia"/>
          <w:color w:val="1A1A1A"/>
          <w:sz w:val="21"/>
          <w:szCs w:val="21"/>
        </w:rPr>
        <w:t xml:space="preserve">Texas Legislature Online. 2001. HB 3343, 77th Regular Session, Bill History.</w:t>
      </w:r>
    </w:p>
    <w:p>
      <w:pPr>
        <w:spacing w:after="60" w:before="60"/>
        <w:ind w:left="480" w:hanging="480"/>
      </w:pPr>
      <w:r>
        <w:rPr>
          <w:rFonts w:ascii="Georgia" w:cs="Georgia" w:eastAsia="Georgia" w:hAnsi="Georgia"/>
          <w:color w:val="1A1A1A"/>
          <w:sz w:val="21"/>
          <w:szCs w:val="21"/>
        </w:rPr>
        <w:t xml:space="preserve">Teacher Retirement System of Texas. 2019. TRS-ActiveCare 2019-20 What's New &amp; What's Changing.</w:t>
      </w:r>
    </w:p>
    <w:p>
      <w:pPr>
        <w:spacing w:after="60" w:before="60"/>
        <w:ind w:left="480" w:hanging="480"/>
      </w:pPr>
      <w:r>
        <w:rPr>
          <w:rFonts w:ascii="Georgia" w:cs="Georgia" w:eastAsia="Georgia" w:hAnsi="Georgia"/>
          <w:color w:val="1A1A1A"/>
          <w:sz w:val="21"/>
          <w:szCs w:val="21"/>
        </w:rPr>
        <w:t xml:space="preserve">Teacher Retirement System of Texas. 2022. TRS Alternative Benefits Study.</w:t>
      </w:r>
    </w:p>
    <w:p>
      <w:pPr>
        <w:spacing w:after="60" w:before="60"/>
        <w:ind w:left="480" w:hanging="480"/>
      </w:pPr>
      <w:r>
        <w:rPr>
          <w:rFonts w:ascii="Georgia" w:cs="Georgia" w:eastAsia="Georgia" w:hAnsi="Georgia"/>
          <w:color w:val="1A1A1A"/>
          <w:sz w:val="21"/>
          <w:szCs w:val="21"/>
        </w:rPr>
        <w:t xml:space="preserve">Teacher Retirement System of Texas. 2023. Region 10 TRS-ActiveCare Plan Highlights 2023-24.</w:t>
      </w:r>
    </w:p>
    <w:p>
      <w:pPr>
        <w:spacing w:after="60" w:before="60"/>
        <w:ind w:left="480" w:hanging="480"/>
      </w:pPr>
      <w:r>
        <w:rPr>
          <w:rFonts w:ascii="Georgia" w:cs="Georgia" w:eastAsia="Georgia" w:hAnsi="Georgia"/>
          <w:color w:val="1A1A1A"/>
          <w:sz w:val="21"/>
          <w:szCs w:val="21"/>
        </w:rPr>
        <w:t xml:space="preserve">Teacher Retirement System of Texas. 2024. Region 10 TRS-ActiveCare Plan Highlights 2024-25.</w:t>
      </w:r>
    </w:p>
    <w:p>
      <w:pPr>
        <w:spacing w:after="60" w:before="60"/>
        <w:ind w:left="480" w:hanging="480"/>
      </w:pPr>
      <w:r>
        <w:rPr>
          <w:rFonts w:ascii="Georgia" w:cs="Georgia" w:eastAsia="Georgia" w:hAnsi="Georgia"/>
          <w:color w:val="1A1A1A"/>
          <w:sz w:val="21"/>
          <w:szCs w:val="21"/>
        </w:rPr>
        <w:t xml:space="preserve">Teacher Retirement System of Texas. 2025. Region 10 TRS-ActiveCare Plan Highlights 2025-26.</w:t>
      </w:r>
    </w:p>
    <w:p>
      <w:pPr>
        <w:spacing w:after="60" w:before="60"/>
        <w:ind w:left="480" w:hanging="480"/>
      </w:pPr>
      <w:r>
        <w:rPr>
          <w:rFonts w:ascii="Georgia" w:cs="Georgia" w:eastAsia="Georgia" w:hAnsi="Georgia"/>
          <w:color w:val="1A1A1A"/>
          <w:sz w:val="21"/>
          <w:szCs w:val="21"/>
        </w:rPr>
        <w:t xml:space="preserve">Teacher Retirement System of Texas. 2025. "2025 TRS-Related Legislation Summary."</w:t>
      </w:r>
    </w:p>
    <w:p>
      <w:pPr>
        <w:spacing w:after="60" w:before="60"/>
        <w:ind w:left="480" w:hanging="480"/>
      </w:pPr>
      <w:r>
        <w:rPr>
          <w:rFonts w:ascii="Georgia" w:cs="Georgia" w:eastAsia="Georgia" w:hAnsi="Georgia"/>
          <w:color w:val="1A1A1A"/>
          <w:sz w:val="21"/>
          <w:szCs w:val="21"/>
        </w:rPr>
        <w:t xml:space="preserve">Teacher Retirement System of Texas. 2025. "TRS-ActiveCare: Regional Rating."</w:t>
      </w:r>
    </w:p>
    <w:p>
      <w:pPr>
        <w:spacing w:after="60" w:before="60"/>
        <w:ind w:left="480" w:hanging="480"/>
      </w:pPr>
      <w:r>
        <w:rPr>
          <w:rFonts w:ascii="Georgia" w:cs="Georgia" w:eastAsia="Georgia" w:hAnsi="Georgia"/>
          <w:color w:val="1A1A1A"/>
          <w:sz w:val="21"/>
          <w:szCs w:val="21"/>
        </w:rPr>
        <w:t xml:space="preserve">Teacher Retirement System of Texas. 2025. "TRS-ActiveCare Reconnect: HB3126."</w:t>
      </w:r>
    </w:p>
    <w:p>
      <w:pPr>
        <w:spacing w:after="60" w:before="60"/>
        <w:ind w:left="480" w:hanging="480"/>
      </w:pPr>
      <w:r>
        <w:rPr>
          <w:rFonts w:ascii="Georgia" w:cs="Georgia" w:eastAsia="Georgia" w:hAnsi="Georgia"/>
          <w:color w:val="1A1A1A"/>
          <w:sz w:val="21"/>
          <w:szCs w:val="21"/>
        </w:rPr>
        <w:t xml:space="preserve">U.S. Bureau of Labor Statistics. 2025. Employee Benefits in the United States, March 2025. September 25, 2025.</w:t>
      </w:r>
    </w:p>
    <w:p>
      <w:pPr>
        <w:spacing w:after="80" w:before="0"/>
      </w:pPr>
      <w:r>
        <w:t xml:space="preserve"/>
      </w:r>
    </w:p>
    <w:p>
      <w:pPr>
        <w:pBdr>
          <w:top w:val="single" w:color="B8860B" w:sz="4" w:space="2"/>
        </w:pBdr>
        <w:spacing w:after="0" w:before="40"/>
        <w:jc w:val="center"/>
      </w:pPr>
      <w:r>
        <w:rPr>
          <w:rFonts w:ascii="Arial" w:cs="Arial" w:eastAsia="Arial" w:hAnsi="Arial"/>
          <w:sz w:val="22"/>
          <w:szCs w:val="22"/>
        </w:rPr>
        <w:t xml:space="preserve"/>
      </w:r>
    </w:p>
    <w:p>
      <w:pPr>
        <w:spacing w:after="40" w:before="0"/>
      </w:pPr>
      <w:r>
        <w:t xml:space="preserve"/>
      </w:r>
    </w:p>
    <w:p>
      <w:pPr>
        <w:spacing w:after="40" w:before="0"/>
        <w:jc w:val="center"/>
      </w:pPr>
      <w:r>
        <w:rPr>
          <w:rFonts w:ascii="Arial" w:cs="Arial" w:eastAsia="Arial" w:hAnsi="Arial"/>
          <w:i/>
          <w:iCs/>
          <w:color w:val="444444"/>
          <w:sz w:val="20"/>
          <w:szCs w:val="20"/>
        </w:rPr>
        <w:t xml:space="preserve">90th Texas Legislature  |  2027</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860B" w:sz="4" w:space="4"/>
      </w:pBdr>
      <w:tabs>
        <w:tab w:val="right" w:pos="9360"/>
      </w:tabs>
      <w:spacing w:after="20" w:before="80"/>
    </w:pPr>
    <w:r>
      <w:rPr>
        <w:rFonts w:ascii="Arial" w:cs="Arial" w:eastAsia="Arial" w:hAnsi="Arial"/>
        <w:i/>
        <w:iCs/>
        <w:color w:val="444444"/>
        <w:sz w:val="16"/>
        <w:szCs w:val="16"/>
      </w:rPr>
      <w:t xml:space="preserve">CONFIDENTIAL — FOR LEGISLATIVE USE</w:t>
    </w:r>
    <w:r>
      <w:rPr>
        <w:rFonts w:ascii="Arial" w:cs="Arial" w:eastAsia="Arial" w:hAnsi="Arial"/>
        <w:sz w:val="16"/>
        <w:szCs w:val="16"/>
      </w:rPr>
      <w:t xml:space="preserve">	</w:t>
    </w:r>
    <w:r>
      <w:rPr>
        <w:rFonts w:ascii="Arial" w:cs="Arial" w:eastAsia="Arial" w:hAnsi="Arial"/>
        <w:color w:val="444444"/>
        <w:sz w:val="16"/>
        <w:szCs w:val="16"/>
      </w:rPr>
      <w:t xml:space="preserve">Page </w:t>
    </w:r>
    <w:fldSimple w:instr="PAGE"/>
  </w:p>
  <w:p>
    <w:pPr>
      <w:spacing w:after="0" w:before="0"/>
    </w:pPr>
    <w:r>
      <w:rPr>
        <w:rFonts w:ascii="Arial" w:cs="Arial" w:eastAsia="Arial" w:hAnsi="Arial"/>
        <w:i/>
        <w:iCs/>
        <w:color w:val="444444"/>
        <w:sz w:val="14"/>
        <w:szCs w:val="14"/>
      </w:rPr>
      <w:t xml:space="preserve">Version: June 29, 2026  04:56 AM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860B" w:sz="4" w:space="4"/>
      </w:pBdr>
      <w:spacing w:after="120" w:before="0"/>
      <w:jc w:val="right"/>
    </w:pPr>
    <w:r>
      <w:rPr>
        <w:rFonts w:ascii="Arial" w:cs="Arial" w:eastAsia="Arial" w:hAnsi="Arial"/>
        <w:color w:val="444444"/>
        <w:sz w:val="18"/>
        <w:szCs w:val="18"/>
      </w:rPr>
      <w:t xml:space="preserve">Texas Active Teacher Health Benefits Dossier  |  Supporting Research  |  90th Legislature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92e7e0eb213b3b7a0eb211f5086bff8ec7193fa7.jp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Active Teacher Health Benefits Dossier</dc:title>
  <dc:subject>Supporting Research — Texas Educator Benefits Expansion Act — 90th Legislature</dc:subject>
  <dc:creator>Legislative Affairs</dc:creator>
  <cp:lastModifiedBy>Un-named</cp:lastModifiedBy>
  <cp:revision>1</cp:revision>
  <dcterms:created xsi:type="dcterms:W3CDTF">2026-06-29T04:56:47.956Z</dcterms:created>
  <dcterms:modified xsi:type="dcterms:W3CDTF">2026-06-29T04:56:47.957Z</dcterms:modified>
</cp:coreProperties>
</file>

<file path=docProps/custom.xml><?xml version="1.0" encoding="utf-8"?>
<Properties xmlns="http://schemas.openxmlformats.org/officeDocument/2006/custom-properties" xmlns:vt="http://schemas.openxmlformats.org/officeDocument/2006/docPropsVTypes"/>
</file>